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82" w:rsidRPr="0045694A" w:rsidRDefault="00D35782" w:rsidP="00D35782">
      <w:pPr>
        <w:jc w:val="center"/>
        <w:rPr>
          <w:b/>
          <w:lang w:val="lt-LT"/>
        </w:rPr>
      </w:pPr>
      <w:r w:rsidRPr="0045694A">
        <w:rPr>
          <w:b/>
          <w:lang w:val="lt-LT"/>
        </w:rPr>
        <w:t xml:space="preserve">VILKAVIŠKIO </w:t>
      </w:r>
      <w:r>
        <w:rPr>
          <w:b/>
          <w:lang w:val="lt-LT"/>
        </w:rPr>
        <w:t>MUZIKOS</w:t>
      </w:r>
      <w:r w:rsidRPr="0045694A">
        <w:rPr>
          <w:b/>
          <w:lang w:val="lt-LT"/>
        </w:rPr>
        <w:t xml:space="preserve"> MOKYKLA</w:t>
      </w:r>
    </w:p>
    <w:p w:rsidR="00D35782" w:rsidRDefault="00D35782" w:rsidP="00D35782">
      <w:pPr>
        <w:rPr>
          <w:lang w:val="lt-LT"/>
        </w:rPr>
      </w:pPr>
    </w:p>
    <w:p w:rsidR="00D35782" w:rsidRPr="001D7790" w:rsidRDefault="00D35782" w:rsidP="00D35782">
      <w:pPr>
        <w:rPr>
          <w:lang w:val="lt-LT"/>
        </w:rPr>
      </w:pPr>
    </w:p>
    <w:p w:rsidR="00D35782" w:rsidRPr="0045694A" w:rsidRDefault="00D35782" w:rsidP="00D35782">
      <w:pPr>
        <w:pStyle w:val="Antrat6"/>
        <w:jc w:val="center"/>
        <w:rPr>
          <w:sz w:val="24"/>
        </w:rPr>
      </w:pPr>
      <w:r w:rsidRPr="0045694A">
        <w:rPr>
          <w:sz w:val="24"/>
        </w:rPr>
        <w:t>AIŠKINAMASIS RAŠTAS</w:t>
      </w:r>
    </w:p>
    <w:p w:rsidR="00D35782" w:rsidRPr="0045694A" w:rsidRDefault="00D35782" w:rsidP="00D35782">
      <w:pPr>
        <w:jc w:val="center"/>
        <w:rPr>
          <w:b/>
          <w:lang w:val="lt-LT"/>
        </w:rPr>
      </w:pPr>
      <w:r w:rsidRPr="0045694A">
        <w:rPr>
          <w:b/>
          <w:lang w:val="lt-LT"/>
        </w:rPr>
        <w:t>PRIE 201</w:t>
      </w:r>
      <w:r w:rsidR="00B84A0C">
        <w:rPr>
          <w:b/>
          <w:lang w:val="lt-LT"/>
        </w:rPr>
        <w:t>9</w:t>
      </w:r>
      <w:r w:rsidRPr="0045694A">
        <w:rPr>
          <w:b/>
          <w:lang w:val="lt-LT"/>
        </w:rPr>
        <w:t xml:space="preserve"> M. </w:t>
      </w:r>
      <w:r>
        <w:rPr>
          <w:b/>
          <w:lang w:val="lt-LT"/>
        </w:rPr>
        <w:t>I</w:t>
      </w:r>
      <w:r w:rsidR="00BE5FD3">
        <w:rPr>
          <w:b/>
          <w:lang w:val="lt-LT"/>
        </w:rPr>
        <w:t>I</w:t>
      </w:r>
      <w:r w:rsidR="00527D86">
        <w:rPr>
          <w:b/>
          <w:lang w:val="lt-LT"/>
        </w:rPr>
        <w:t>I</w:t>
      </w:r>
      <w:r>
        <w:rPr>
          <w:b/>
          <w:lang w:val="lt-LT"/>
        </w:rPr>
        <w:t xml:space="preserve"> KETVIRČIO </w:t>
      </w:r>
      <w:r w:rsidRPr="0045694A">
        <w:rPr>
          <w:b/>
          <w:lang w:val="lt-LT"/>
        </w:rPr>
        <w:t>FINANSINIŲ ATASKAITŲ</w:t>
      </w:r>
    </w:p>
    <w:p w:rsidR="00D35782" w:rsidRPr="0045694A" w:rsidRDefault="00D35782" w:rsidP="00D35782">
      <w:pPr>
        <w:jc w:val="center"/>
        <w:rPr>
          <w:lang w:val="lt-LT"/>
        </w:rPr>
      </w:pPr>
      <w:r w:rsidRPr="0045694A">
        <w:rPr>
          <w:lang w:val="lt-LT"/>
        </w:rPr>
        <w:t>201</w:t>
      </w:r>
      <w:r w:rsidR="00F52D11">
        <w:rPr>
          <w:lang w:val="lt-LT"/>
        </w:rPr>
        <w:t>9</w:t>
      </w:r>
      <w:r>
        <w:rPr>
          <w:lang w:val="lt-LT"/>
        </w:rPr>
        <w:t>-</w:t>
      </w:r>
      <w:r w:rsidR="00BE5FD3">
        <w:rPr>
          <w:lang w:val="lt-LT"/>
        </w:rPr>
        <w:t>10</w:t>
      </w:r>
      <w:r w:rsidRPr="0045694A">
        <w:rPr>
          <w:lang w:val="lt-LT"/>
        </w:rPr>
        <w:t>-</w:t>
      </w:r>
      <w:r w:rsidR="008E1D3A">
        <w:rPr>
          <w:lang w:val="lt-LT"/>
        </w:rPr>
        <w:t>1</w:t>
      </w:r>
      <w:r w:rsidR="00E44FFF">
        <w:rPr>
          <w:lang w:val="lt-LT"/>
        </w:rPr>
        <w:t>1</w:t>
      </w:r>
    </w:p>
    <w:p w:rsidR="00D35782" w:rsidRDefault="00D35782" w:rsidP="00D35782">
      <w:pPr>
        <w:jc w:val="center"/>
        <w:rPr>
          <w:lang w:val="lt-LT"/>
        </w:rPr>
      </w:pPr>
      <w:r>
        <w:rPr>
          <w:lang w:val="lt-LT"/>
        </w:rPr>
        <w:t>Vilkaviškis</w:t>
      </w:r>
    </w:p>
    <w:p w:rsidR="00D35782" w:rsidRDefault="00D35782" w:rsidP="00D35782">
      <w:pPr>
        <w:jc w:val="center"/>
        <w:rPr>
          <w:lang w:val="lt-LT"/>
        </w:rPr>
      </w:pPr>
    </w:p>
    <w:p w:rsidR="00D35782" w:rsidRDefault="00D35782" w:rsidP="00D35782">
      <w:pPr>
        <w:pStyle w:val="Antrat2"/>
        <w:numPr>
          <w:ilvl w:val="0"/>
          <w:numId w:val="2"/>
        </w:numPr>
        <w:jc w:val="center"/>
      </w:pPr>
      <w:r w:rsidRPr="0045694A">
        <w:t>BENDROJI DALIS</w:t>
      </w:r>
    </w:p>
    <w:p w:rsidR="00D35782" w:rsidRPr="00E85A5E" w:rsidRDefault="00D35782" w:rsidP="00D35782">
      <w:pPr>
        <w:rPr>
          <w:lang w:val="lt-LT"/>
        </w:rPr>
      </w:pPr>
    </w:p>
    <w:p w:rsidR="00D35782" w:rsidRPr="009E77CF" w:rsidRDefault="00D35782" w:rsidP="00D35782">
      <w:pPr>
        <w:jc w:val="both"/>
        <w:rPr>
          <w:lang w:val="lt-LT"/>
        </w:rPr>
      </w:pPr>
      <w:r w:rsidRPr="0045694A">
        <w:rPr>
          <w:lang w:val="lt-LT"/>
        </w:rPr>
        <w:tab/>
      </w:r>
      <w:r w:rsidRPr="009E77CF">
        <w:rPr>
          <w:lang w:val="lt-LT"/>
        </w:rPr>
        <w:t>Vilkaviškio muzikos mokykla (toliau – mokykla) yra biudžetinė įstaiga, finansuojama iš Vilkaviškio rajono savivaldybės biudžeto.</w:t>
      </w:r>
    </w:p>
    <w:p w:rsidR="00D35782" w:rsidRPr="009E77CF" w:rsidRDefault="00D35782" w:rsidP="00BE5FD3">
      <w:pPr>
        <w:ind w:firstLine="1296"/>
        <w:jc w:val="both"/>
        <w:rPr>
          <w:lang w:val="lt-LT"/>
        </w:rPr>
      </w:pPr>
      <w:r w:rsidRPr="009E77CF">
        <w:rPr>
          <w:lang w:val="lt-LT"/>
        </w:rPr>
        <w:t xml:space="preserve"> Įstaigos kodas 190569828.</w:t>
      </w:r>
    </w:p>
    <w:p w:rsidR="00D35782" w:rsidRPr="009E77CF" w:rsidRDefault="00D35782" w:rsidP="00D35782">
      <w:pPr>
        <w:jc w:val="both"/>
        <w:rPr>
          <w:lang w:val="lt-LT"/>
        </w:rPr>
      </w:pPr>
      <w:r w:rsidRPr="009E77CF">
        <w:rPr>
          <w:lang w:val="lt-LT"/>
        </w:rPr>
        <w:tab/>
        <w:t xml:space="preserve">Mokyklos buveinės adresas: Kęstučio g. 13, Vilkaviškis, Lietuvos Respublika. </w:t>
      </w:r>
    </w:p>
    <w:p w:rsidR="00D35782" w:rsidRPr="009E77CF" w:rsidRDefault="00D35782" w:rsidP="00D35782">
      <w:pPr>
        <w:jc w:val="both"/>
        <w:rPr>
          <w:lang w:val="lt-LT"/>
        </w:rPr>
      </w:pPr>
      <w:r w:rsidRPr="009E77CF">
        <w:rPr>
          <w:lang w:val="lt-LT"/>
        </w:rPr>
        <w:tab/>
        <w:t xml:space="preserve">Mokyklos steigėjas yra Vilkaviškio rajono savivaldybės taryba. </w:t>
      </w:r>
    </w:p>
    <w:p w:rsidR="00D35782" w:rsidRPr="009E77CF" w:rsidRDefault="00D35782" w:rsidP="00D35782">
      <w:pPr>
        <w:jc w:val="both"/>
        <w:rPr>
          <w:lang w:val="lt-LT"/>
        </w:rPr>
      </w:pPr>
      <w:r w:rsidRPr="009E77CF">
        <w:rPr>
          <w:lang w:val="lt-LT"/>
        </w:rPr>
        <w:tab/>
        <w:t>Mokyklos tikslas – teikti formalųjį švietimą papildantį ugdymą  rajono mokyklų mokiniams.</w:t>
      </w:r>
    </w:p>
    <w:p w:rsidR="00D35782" w:rsidRPr="0045694A" w:rsidRDefault="00D35782" w:rsidP="0015270A">
      <w:pPr>
        <w:ind w:left="720" w:firstLine="576"/>
        <w:jc w:val="both"/>
        <w:rPr>
          <w:lang w:val="lt-LT"/>
        </w:rPr>
      </w:pPr>
      <w:r w:rsidRPr="0045694A">
        <w:rPr>
          <w:lang w:val="lt-LT"/>
        </w:rPr>
        <w:t>Sudaro ir teikia atskirus žemesniojo lygio finansinių ataskaitų ir biudžeto vykdymo ataskaitų rinkinius.</w:t>
      </w:r>
    </w:p>
    <w:p w:rsidR="00D35782" w:rsidRPr="0045694A" w:rsidRDefault="00D35782" w:rsidP="00D35782">
      <w:pPr>
        <w:jc w:val="both"/>
        <w:rPr>
          <w:lang w:val="lt-LT"/>
        </w:rPr>
      </w:pPr>
      <w:r w:rsidRPr="0045694A">
        <w:rPr>
          <w:lang w:val="lt-LT"/>
        </w:rPr>
        <w:tab/>
      </w:r>
      <w:r>
        <w:rPr>
          <w:lang w:val="lt-LT"/>
        </w:rPr>
        <w:t xml:space="preserve">Mokyklos finansinės ataskaitos teikiamos už </w:t>
      </w:r>
      <w:r w:rsidRPr="0045694A">
        <w:rPr>
          <w:lang w:val="lt-LT"/>
        </w:rPr>
        <w:t>201</w:t>
      </w:r>
      <w:r w:rsidR="00104ED4">
        <w:rPr>
          <w:lang w:val="lt-LT"/>
        </w:rPr>
        <w:t>9</w:t>
      </w:r>
      <w:r w:rsidRPr="0045694A">
        <w:rPr>
          <w:lang w:val="lt-LT"/>
        </w:rPr>
        <w:t xml:space="preserve"> m.</w:t>
      </w:r>
      <w:r>
        <w:rPr>
          <w:lang w:val="lt-LT"/>
        </w:rPr>
        <w:t xml:space="preserve"> </w:t>
      </w:r>
      <w:r w:rsidR="00BE5FD3">
        <w:rPr>
          <w:lang w:val="lt-LT"/>
        </w:rPr>
        <w:t>devynis</w:t>
      </w:r>
      <w:r w:rsidR="007C390F">
        <w:rPr>
          <w:lang w:val="lt-LT"/>
        </w:rPr>
        <w:t xml:space="preserve"> mėnesius</w:t>
      </w:r>
      <w:r w:rsidRPr="0045694A">
        <w:rPr>
          <w:lang w:val="lt-LT"/>
        </w:rPr>
        <w:t>.</w:t>
      </w:r>
    </w:p>
    <w:p w:rsidR="00D35782" w:rsidRPr="0045694A" w:rsidRDefault="00D35782" w:rsidP="0015270A">
      <w:pPr>
        <w:tabs>
          <w:tab w:val="left" w:pos="0"/>
        </w:tabs>
        <w:jc w:val="both"/>
        <w:rPr>
          <w:lang w:val="lt-LT"/>
        </w:rPr>
      </w:pPr>
      <w:r>
        <w:rPr>
          <w:lang w:val="lt-LT"/>
        </w:rPr>
        <w:tab/>
      </w:r>
      <w:r w:rsidRPr="0045694A">
        <w:rPr>
          <w:lang w:val="lt-LT"/>
        </w:rPr>
        <w:t>Įstaigos ataskaitinio laikotarpio vi</w:t>
      </w:r>
      <w:r>
        <w:rPr>
          <w:lang w:val="lt-LT"/>
        </w:rPr>
        <w:t xml:space="preserve">dutinis </w:t>
      </w:r>
      <w:r w:rsidR="00CB1C77">
        <w:rPr>
          <w:lang w:val="lt-LT"/>
        </w:rPr>
        <w:t xml:space="preserve">darbdavio </w:t>
      </w:r>
      <w:r w:rsidRPr="00821304">
        <w:rPr>
          <w:lang w:val="lt-LT"/>
        </w:rPr>
        <w:t xml:space="preserve">darbuotojų skaičius – </w:t>
      </w:r>
      <w:r w:rsidR="00BE5FD3">
        <w:rPr>
          <w:lang w:val="lt-LT"/>
        </w:rPr>
        <w:t>51</w:t>
      </w:r>
      <w:r w:rsidRPr="00821304">
        <w:rPr>
          <w:lang w:val="lt-LT"/>
        </w:rPr>
        <w:t xml:space="preserve">. Įstaigos ataskaitinio laikotarpio pabaigoje patvirtinti </w:t>
      </w:r>
      <w:r w:rsidR="00185001">
        <w:rPr>
          <w:lang w:val="lt-LT"/>
        </w:rPr>
        <w:t>61,1</w:t>
      </w:r>
      <w:r w:rsidR="00104ED4">
        <w:rPr>
          <w:lang w:val="lt-LT"/>
        </w:rPr>
        <w:t xml:space="preserve"> etato</w:t>
      </w:r>
      <w:r w:rsidRPr="00821304">
        <w:rPr>
          <w:lang w:val="lt-LT"/>
        </w:rPr>
        <w:t>.</w:t>
      </w:r>
      <w:r>
        <w:rPr>
          <w:lang w:val="lt-LT"/>
        </w:rPr>
        <w:t xml:space="preserve"> </w:t>
      </w:r>
    </w:p>
    <w:p w:rsidR="00D35782" w:rsidRPr="0045694A" w:rsidRDefault="00D35782" w:rsidP="00D35782">
      <w:pPr>
        <w:tabs>
          <w:tab w:val="left" w:pos="0"/>
        </w:tabs>
        <w:jc w:val="both"/>
        <w:rPr>
          <w:lang w:val="lt-LT"/>
        </w:rPr>
      </w:pPr>
      <w:r w:rsidRPr="0045694A">
        <w:rPr>
          <w:lang w:val="lt-LT"/>
        </w:rPr>
        <w:tab/>
        <w:t>Įstaigos parengtos finansi</w:t>
      </w:r>
      <w:bookmarkStart w:id="0" w:name="_GoBack"/>
      <w:r w:rsidRPr="0045694A">
        <w:rPr>
          <w:lang w:val="lt-LT"/>
        </w:rPr>
        <w:t>nė</w:t>
      </w:r>
      <w:bookmarkEnd w:id="0"/>
      <w:r w:rsidRPr="0045694A">
        <w:rPr>
          <w:lang w:val="lt-LT"/>
        </w:rPr>
        <w:t>s ataskaitos atitinka Viešojo sektoriaus apskaitos ir finansinės atskaitomybės standartus (toliau – VSAFAS).</w:t>
      </w:r>
    </w:p>
    <w:p w:rsidR="00D35782" w:rsidRDefault="00D35782" w:rsidP="00D35782">
      <w:pPr>
        <w:tabs>
          <w:tab w:val="left" w:pos="0"/>
        </w:tabs>
        <w:jc w:val="both"/>
        <w:rPr>
          <w:lang w:val="lt-LT"/>
        </w:rPr>
      </w:pPr>
      <w:r>
        <w:rPr>
          <w:lang w:val="lt-LT"/>
        </w:rPr>
        <w:tab/>
      </w:r>
      <w:r w:rsidRPr="0045694A">
        <w:rPr>
          <w:lang w:val="lt-LT"/>
        </w:rPr>
        <w:t>Įstaiga, tvarkydama buhalterinę apskaitą ir rengdama finansines ataskaitas, vadovaujasi Lietuvos Respublikos viešojo sektoriaus atskaitomybės įstatymo ir kitų teisės aktų nustatyta tvarka bei taiko apskaitos politiką, patvirtintą direktoriaus 20</w:t>
      </w:r>
      <w:r>
        <w:rPr>
          <w:lang w:val="lt-LT"/>
        </w:rPr>
        <w:t>11</w:t>
      </w:r>
      <w:r w:rsidRPr="0045694A">
        <w:rPr>
          <w:lang w:val="lt-LT"/>
        </w:rPr>
        <w:t xml:space="preserve"> m. </w:t>
      </w:r>
      <w:r>
        <w:rPr>
          <w:lang w:val="lt-LT"/>
        </w:rPr>
        <w:t>gegužės</w:t>
      </w:r>
      <w:r w:rsidRPr="0045694A">
        <w:rPr>
          <w:lang w:val="lt-LT"/>
        </w:rPr>
        <w:t xml:space="preserve"> </w:t>
      </w:r>
      <w:r>
        <w:rPr>
          <w:lang w:val="lt-LT"/>
        </w:rPr>
        <w:t>27</w:t>
      </w:r>
      <w:r w:rsidRPr="0045694A">
        <w:rPr>
          <w:lang w:val="lt-LT"/>
        </w:rPr>
        <w:t xml:space="preserve"> d. įsakymu Nr.</w:t>
      </w:r>
      <w:r>
        <w:rPr>
          <w:lang w:val="lt-LT"/>
        </w:rPr>
        <w:t xml:space="preserve"> </w:t>
      </w:r>
      <w:r w:rsidRPr="0045694A">
        <w:rPr>
          <w:lang w:val="lt-LT"/>
        </w:rPr>
        <w:t>V-</w:t>
      </w:r>
      <w:r>
        <w:rPr>
          <w:lang w:val="lt-LT"/>
        </w:rPr>
        <w:t>65</w:t>
      </w:r>
      <w:r w:rsidRPr="0045694A">
        <w:rPr>
          <w:lang w:val="lt-LT"/>
        </w:rPr>
        <w:t xml:space="preserve"> „Dėl </w:t>
      </w:r>
      <w:r>
        <w:rPr>
          <w:lang w:val="lt-LT"/>
        </w:rPr>
        <w:t xml:space="preserve">sąskaitų plano ir buhalterinės </w:t>
      </w:r>
      <w:r w:rsidRPr="0045694A">
        <w:rPr>
          <w:lang w:val="lt-LT"/>
        </w:rPr>
        <w:t xml:space="preserve">apskaitos </w:t>
      </w:r>
      <w:r>
        <w:rPr>
          <w:lang w:val="lt-LT"/>
        </w:rPr>
        <w:t xml:space="preserve">vadovo </w:t>
      </w:r>
      <w:r w:rsidRPr="0045694A">
        <w:rPr>
          <w:lang w:val="lt-LT"/>
        </w:rPr>
        <w:t>tvirtinimo“. Apskaitos politika apima ūkinių operacijų ir įvykių pripažinimo, įvertinimo ir apskaitos principus, metodus ir taisykles.</w:t>
      </w:r>
    </w:p>
    <w:p w:rsidR="00D35782" w:rsidRDefault="00D35782" w:rsidP="00D35782">
      <w:pPr>
        <w:tabs>
          <w:tab w:val="left" w:pos="0"/>
        </w:tabs>
        <w:jc w:val="both"/>
        <w:rPr>
          <w:lang w:val="lt-LT"/>
        </w:rPr>
      </w:pPr>
      <w:r>
        <w:rPr>
          <w:lang w:val="lt-LT"/>
        </w:rPr>
        <w:tab/>
      </w:r>
      <w:r w:rsidR="00773173">
        <w:rPr>
          <w:lang w:val="lt-LT"/>
        </w:rPr>
        <w:t>Finansinėse ataskaitose pateikiami duomenys išreikšti eurais</w:t>
      </w:r>
      <w:r>
        <w:rPr>
          <w:lang w:val="lt-LT"/>
        </w:rPr>
        <w:t>.</w:t>
      </w:r>
    </w:p>
    <w:p w:rsidR="00D35782" w:rsidRDefault="00D35782" w:rsidP="00D35782">
      <w:pPr>
        <w:tabs>
          <w:tab w:val="left" w:pos="0"/>
        </w:tabs>
        <w:jc w:val="both"/>
        <w:rPr>
          <w:lang w:val="lt-LT"/>
        </w:rPr>
      </w:pPr>
      <w:r>
        <w:rPr>
          <w:lang w:val="lt-LT"/>
        </w:rPr>
        <w:tab/>
      </w:r>
    </w:p>
    <w:p w:rsidR="00D35782" w:rsidRDefault="00D35782" w:rsidP="00D35782">
      <w:pPr>
        <w:pStyle w:val="Antrat7"/>
        <w:numPr>
          <w:ilvl w:val="0"/>
          <w:numId w:val="2"/>
        </w:numPr>
        <w:rPr>
          <w:sz w:val="24"/>
        </w:rPr>
      </w:pPr>
      <w:r w:rsidRPr="0045694A">
        <w:rPr>
          <w:sz w:val="24"/>
        </w:rPr>
        <w:t>APSKAITOS POLITIKA</w:t>
      </w:r>
    </w:p>
    <w:p w:rsidR="00D35782" w:rsidRPr="0045694A" w:rsidRDefault="00D35782" w:rsidP="00D35782">
      <w:pPr>
        <w:tabs>
          <w:tab w:val="left" w:pos="0"/>
        </w:tabs>
        <w:jc w:val="both"/>
        <w:rPr>
          <w:lang w:val="lt-LT"/>
        </w:rPr>
      </w:pPr>
      <w:r w:rsidRPr="0045694A">
        <w:rPr>
          <w:lang w:val="lt-LT"/>
        </w:rPr>
        <w:tab/>
      </w:r>
    </w:p>
    <w:p w:rsidR="00EE1758" w:rsidRPr="00EE1758" w:rsidRDefault="00D35782" w:rsidP="00EE1758">
      <w:pPr>
        <w:tabs>
          <w:tab w:val="left" w:pos="0"/>
        </w:tabs>
        <w:jc w:val="both"/>
        <w:rPr>
          <w:lang w:val="lt-LT"/>
        </w:rPr>
      </w:pPr>
      <w:r w:rsidRPr="0045694A">
        <w:rPr>
          <w:lang w:val="lt-LT"/>
        </w:rPr>
        <w:tab/>
      </w:r>
      <w:r w:rsidR="00EE1758" w:rsidRPr="00EE1758">
        <w:rPr>
          <w:lang w:val="lt-LT"/>
        </w:rPr>
        <w:t>Įstaigos parengtos finansinės ataskaitos atitinka Viešojo sektoriaus apskaitos ir finansinės atskaitomybės standartus (toliau – VSAFAS).</w:t>
      </w:r>
    </w:p>
    <w:p w:rsidR="00EE1758" w:rsidRPr="00EE1758" w:rsidRDefault="00EE1758" w:rsidP="00EE1758">
      <w:pPr>
        <w:tabs>
          <w:tab w:val="left" w:pos="0"/>
        </w:tabs>
        <w:jc w:val="both"/>
        <w:rPr>
          <w:lang w:val="lt-LT"/>
        </w:rPr>
      </w:pPr>
      <w:r w:rsidRPr="00EE1758">
        <w:rPr>
          <w:lang w:val="lt-LT"/>
        </w:rPr>
        <w:tab/>
        <w:t>Įstaiga, tvarkydama buhalterinę apskaitą ir rengdama finansines ataskaitas, vadovaujasi Lietuvos Respublikos viešojo sektoriaus atskaitomybės įstatymo ir kitų teisės aktų nustatyta tvarka bei taiko apskaitos politiką, patvirtintą direktoriaus 2011 m. gegužės 27 d. įsakymu Nr. V-65 „Dėl sąskaitų plano ir buhalterinės apskaitos vadovo tvirtinimo“. Apskaitos politika apima ūkinių operacijų ir įvykių pripažinimo, įvertinimo ir apskaitos principus, metodus ir taisykles.</w:t>
      </w:r>
    </w:p>
    <w:p w:rsidR="00EE1758" w:rsidRPr="00EE1758" w:rsidRDefault="00EE1758" w:rsidP="00EE1758">
      <w:pPr>
        <w:tabs>
          <w:tab w:val="left" w:pos="0"/>
        </w:tabs>
        <w:jc w:val="both"/>
        <w:rPr>
          <w:lang w:val="lt-LT"/>
        </w:rPr>
      </w:pPr>
      <w:r w:rsidRPr="00EE1758">
        <w:rPr>
          <w:lang w:val="lt-LT"/>
        </w:rPr>
        <w:tab/>
        <w:t>Įstaigos finansiniai metai sutampa su kalendoriniais metais, tarpinis ataskaitinis laikotarpis sutampa su kalendoriniu ketvirčiu.</w:t>
      </w:r>
    </w:p>
    <w:p w:rsidR="00EE1758" w:rsidRPr="00EE1758" w:rsidRDefault="00EE1758" w:rsidP="00EE1758">
      <w:pPr>
        <w:tabs>
          <w:tab w:val="left" w:pos="0"/>
        </w:tabs>
        <w:jc w:val="both"/>
        <w:rPr>
          <w:lang w:val="lt-LT"/>
        </w:rPr>
      </w:pPr>
      <w:r w:rsidRPr="00EE1758">
        <w:rPr>
          <w:lang w:val="lt-LT"/>
        </w:rPr>
        <w:tab/>
        <w:t>Apskaitai tvarkyti naudojama buhalterinės apskaitos programa „Finas“, kuri pritaikyta apskaitai tvarkyti pagal VSAFAS reikalavimus.</w:t>
      </w:r>
    </w:p>
    <w:p w:rsidR="00EE1758" w:rsidRPr="00EE1758" w:rsidRDefault="00EE1758" w:rsidP="00EE1758">
      <w:pPr>
        <w:tabs>
          <w:tab w:val="left" w:pos="0"/>
        </w:tabs>
        <w:jc w:val="both"/>
        <w:rPr>
          <w:lang w:val="lt-LT"/>
        </w:rPr>
      </w:pPr>
      <w:r w:rsidRPr="00EE1758">
        <w:rPr>
          <w:lang w:val="lt-LT"/>
        </w:rPr>
        <w:tab/>
        <w:t>Apskaitos duomenys detalizuojami pagal šiuos požymius:</w:t>
      </w:r>
    </w:p>
    <w:p w:rsidR="00EE1758" w:rsidRPr="00EE1758" w:rsidRDefault="00EE1758" w:rsidP="00EE1758">
      <w:pPr>
        <w:numPr>
          <w:ilvl w:val="0"/>
          <w:numId w:val="3"/>
        </w:numPr>
        <w:tabs>
          <w:tab w:val="left" w:pos="0"/>
        </w:tabs>
        <w:jc w:val="both"/>
        <w:rPr>
          <w:lang w:val="lt-LT"/>
        </w:rPr>
      </w:pPr>
      <w:r w:rsidRPr="00EE1758">
        <w:rPr>
          <w:lang w:val="lt-LT"/>
        </w:rPr>
        <w:t>valstybės funkciją;</w:t>
      </w:r>
    </w:p>
    <w:p w:rsidR="00EE1758" w:rsidRPr="00EE1758" w:rsidRDefault="00EE1758" w:rsidP="00EE1758">
      <w:pPr>
        <w:numPr>
          <w:ilvl w:val="0"/>
          <w:numId w:val="3"/>
        </w:numPr>
        <w:tabs>
          <w:tab w:val="left" w:pos="0"/>
        </w:tabs>
        <w:jc w:val="both"/>
        <w:rPr>
          <w:lang w:val="lt-LT"/>
        </w:rPr>
      </w:pPr>
      <w:r w:rsidRPr="00EE1758">
        <w:rPr>
          <w:lang w:val="lt-LT"/>
        </w:rPr>
        <w:t>programą;</w:t>
      </w:r>
    </w:p>
    <w:p w:rsidR="00EE1758" w:rsidRPr="00EE1758" w:rsidRDefault="00EE1758" w:rsidP="00EE1758">
      <w:pPr>
        <w:numPr>
          <w:ilvl w:val="0"/>
          <w:numId w:val="3"/>
        </w:numPr>
        <w:tabs>
          <w:tab w:val="left" w:pos="0"/>
        </w:tabs>
        <w:jc w:val="both"/>
        <w:rPr>
          <w:lang w:val="lt-LT"/>
        </w:rPr>
      </w:pPr>
      <w:r w:rsidRPr="00EE1758">
        <w:rPr>
          <w:lang w:val="lt-LT"/>
        </w:rPr>
        <w:t>lėšų šaltinį;</w:t>
      </w:r>
    </w:p>
    <w:p w:rsidR="00EE1758" w:rsidRPr="00EE1758" w:rsidRDefault="00EE1758" w:rsidP="00EE1758">
      <w:pPr>
        <w:numPr>
          <w:ilvl w:val="0"/>
          <w:numId w:val="3"/>
        </w:numPr>
        <w:tabs>
          <w:tab w:val="left" w:pos="0"/>
        </w:tabs>
        <w:jc w:val="both"/>
        <w:rPr>
          <w:lang w:val="lt-LT"/>
        </w:rPr>
      </w:pPr>
      <w:r w:rsidRPr="00EE1758">
        <w:rPr>
          <w:lang w:val="lt-LT"/>
        </w:rPr>
        <w:t>valstybės biudžeto išlaidų ir pajamų ekonominės klasifikacijos straipsnį.</w:t>
      </w:r>
    </w:p>
    <w:p w:rsidR="00EE1758" w:rsidRPr="00EE1758" w:rsidRDefault="00EE1758" w:rsidP="00EE1758">
      <w:pPr>
        <w:tabs>
          <w:tab w:val="left" w:pos="0"/>
        </w:tabs>
        <w:jc w:val="both"/>
        <w:rPr>
          <w:lang w:val="lt-LT"/>
        </w:rPr>
      </w:pPr>
      <w:r w:rsidRPr="00EE1758">
        <w:rPr>
          <w:lang w:val="lt-LT"/>
        </w:rPr>
        <w:tab/>
        <w:t xml:space="preserve">Visos operacijos ir ūkiniai įvykiai apskaitoje registruojami dvejybiniu įrašu didžiojoje knygoje. Taikomi kaupimo, subjekto, veiklos tęstinumo, periodiškumo, pastovumo, piniginio mato, </w:t>
      </w:r>
      <w:r w:rsidRPr="00EE1758">
        <w:rPr>
          <w:lang w:val="lt-LT"/>
        </w:rPr>
        <w:lastRenderedPageBreak/>
        <w:t>palyginimo, turinio viršenybės prieš formą principai. Pateikiama informacija yra patikima, teisinga, nešališka, visais reikšmingais atvejais išsami.</w:t>
      </w:r>
    </w:p>
    <w:p w:rsidR="00EE1758" w:rsidRPr="00EE1758" w:rsidRDefault="00EE1758" w:rsidP="00EE1758">
      <w:pPr>
        <w:keepNext/>
        <w:jc w:val="center"/>
        <w:outlineLvl w:val="2"/>
        <w:rPr>
          <w:b/>
          <w:bCs/>
          <w:lang w:val="lt-LT"/>
        </w:rPr>
      </w:pPr>
    </w:p>
    <w:p w:rsidR="00EE1758" w:rsidRPr="00EE1758" w:rsidRDefault="00EE1758" w:rsidP="00EE1758">
      <w:pPr>
        <w:keepNext/>
        <w:jc w:val="center"/>
        <w:outlineLvl w:val="2"/>
        <w:rPr>
          <w:b/>
          <w:bCs/>
          <w:lang w:val="lt-LT"/>
        </w:rPr>
      </w:pPr>
      <w:r w:rsidRPr="00EE1758">
        <w:rPr>
          <w:b/>
          <w:bCs/>
          <w:lang w:val="lt-LT"/>
        </w:rPr>
        <w:t>Nematerialusis turtas</w:t>
      </w:r>
    </w:p>
    <w:p w:rsidR="00EE1758" w:rsidRPr="00EE1758" w:rsidRDefault="00EE1758" w:rsidP="00EE1758">
      <w:pPr>
        <w:rPr>
          <w:lang w:val="lt-LT"/>
        </w:rPr>
      </w:pPr>
    </w:p>
    <w:p w:rsidR="00EE1758" w:rsidRPr="00EE1758" w:rsidRDefault="00EE1758" w:rsidP="00EE1758">
      <w:pPr>
        <w:tabs>
          <w:tab w:val="left" w:pos="1200"/>
        </w:tabs>
        <w:jc w:val="both"/>
        <w:rPr>
          <w:lang w:val="lt-LT"/>
        </w:rPr>
      </w:pPr>
      <w:r w:rsidRPr="00EE1758">
        <w:rPr>
          <w:lang w:val="lt-LT"/>
        </w:rPr>
        <w:tab/>
        <w:t>Nematerialusis turtas pirminio pripažinimo metu apskaitoje yra registruojamas įsigijimo savikaina. Po pirminio pripažinimo nematerialusis turtas, kurio naudingo tarnavimo laikas ribotas, finansinėse ataskaitose yra parodomas įsigijimo savikaina, atėmus sukauptą amortizaciją ir nusidėvėjimą, jei jis yra.</w:t>
      </w:r>
    </w:p>
    <w:p w:rsidR="00EE1758" w:rsidRPr="00EE1758" w:rsidRDefault="00EE1758" w:rsidP="00EE1758">
      <w:pPr>
        <w:tabs>
          <w:tab w:val="left" w:pos="1200"/>
        </w:tabs>
        <w:jc w:val="both"/>
        <w:rPr>
          <w:lang w:val="lt-LT"/>
        </w:rPr>
      </w:pPr>
      <w:r w:rsidRPr="00EE1758">
        <w:rPr>
          <w:lang w:val="lt-LT"/>
        </w:rPr>
        <w:tab/>
        <w:t>Nematerialiojo turto amortizuojamoji vertė yra nuosekliai paskirstoma per visą nustatytą naudingo tarnavimo laiką tiesiogiai proporcingu metodu. Likvidacinė vertė – 0.</w:t>
      </w:r>
    </w:p>
    <w:p w:rsidR="00EE1758" w:rsidRPr="00EE1758" w:rsidRDefault="00EE1758" w:rsidP="00EE1758">
      <w:pPr>
        <w:tabs>
          <w:tab w:val="left" w:pos="1200"/>
        </w:tabs>
        <w:jc w:val="both"/>
        <w:rPr>
          <w:lang w:val="lt-LT"/>
        </w:rPr>
      </w:pPr>
      <w:r w:rsidRPr="00EE1758">
        <w:rPr>
          <w:lang w:val="lt-LT"/>
        </w:rPr>
        <w:tab/>
        <w:t>Neatlygintinai gautas nematerialusis turtas ne iš viešojo sektoriaus subjekto registruojamas tikrąja verte pagal įsigijimo dienos būklę, jei tikrąją vertę įmanoma patikimai nustatyti. Jei tikrosios vertės patikimai nustatyti negalima, tuomet nematerialusis turtas registruojamas simboline vieno euro verte.</w:t>
      </w:r>
    </w:p>
    <w:p w:rsidR="00EE1758" w:rsidRPr="00EE1758" w:rsidRDefault="00EE1758" w:rsidP="00EE1758">
      <w:pPr>
        <w:ind w:firstLine="851"/>
        <w:jc w:val="both"/>
        <w:rPr>
          <w:lang w:val="lt-LT"/>
        </w:rPr>
      </w:pPr>
      <w:r w:rsidRPr="00EE1758">
        <w:rPr>
          <w:lang w:val="lt-LT"/>
        </w:rPr>
        <w:t>Ilgalaikio nematerialiojo turto amortizacijos normatyvai pateikiami 1 lentelėje.</w:t>
      </w:r>
    </w:p>
    <w:p w:rsidR="00EE1758" w:rsidRPr="00EE1758" w:rsidRDefault="00EE1758" w:rsidP="00EE1758">
      <w:pPr>
        <w:ind w:firstLine="851"/>
        <w:jc w:val="both"/>
        <w:rPr>
          <w:lang w:val="lt-LT"/>
        </w:rPr>
      </w:pPr>
    </w:p>
    <w:p w:rsidR="00EE1758" w:rsidRPr="00EE1758" w:rsidRDefault="00EE1758" w:rsidP="00EE1758">
      <w:pPr>
        <w:ind w:firstLine="851"/>
        <w:jc w:val="both"/>
        <w:rPr>
          <w:lang w:val="lt-LT"/>
        </w:rPr>
      </w:pPr>
      <w:r w:rsidRPr="00EE1758">
        <w:rPr>
          <w:lang w:val="lt-LT"/>
        </w:rPr>
        <w:t xml:space="preserve"> 1 lentelė. Ilgalaikio nematerialiojo turto amortizacijos normatyvai metais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6963"/>
        <w:gridCol w:w="2038"/>
      </w:tblGrid>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Eil. Nr.</w:t>
            </w:r>
          </w:p>
        </w:tc>
        <w:tc>
          <w:tcPr>
            <w:tcW w:w="35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Turto grupės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Turto </w:t>
            </w:r>
          </w:p>
          <w:p w:rsidR="00EE1758" w:rsidRPr="00EE1758" w:rsidRDefault="00EE1758" w:rsidP="00EE1758">
            <w:pPr>
              <w:jc w:val="center"/>
              <w:rPr>
                <w:sz w:val="22"/>
                <w:szCs w:val="22"/>
                <w:lang w:val="lt-LT"/>
              </w:rPr>
            </w:pPr>
            <w:r w:rsidRPr="00EE1758">
              <w:rPr>
                <w:sz w:val="22"/>
                <w:szCs w:val="22"/>
                <w:lang w:val="lt-LT"/>
              </w:rPr>
              <w:t>amortizacijos  normatyvas</w:t>
            </w:r>
          </w:p>
          <w:p w:rsidR="00EE1758" w:rsidRPr="00EE1758" w:rsidRDefault="00EE1758" w:rsidP="00EE1758">
            <w:pPr>
              <w:jc w:val="center"/>
              <w:rPr>
                <w:sz w:val="22"/>
                <w:szCs w:val="22"/>
                <w:lang w:val="lt-LT"/>
              </w:rPr>
            </w:pPr>
            <w:r w:rsidRPr="00EE1758">
              <w:rPr>
                <w:sz w:val="22"/>
                <w:szCs w:val="22"/>
                <w:lang w:val="lt-LT"/>
              </w:rPr>
              <w:t>(metai)</w:t>
            </w:r>
          </w:p>
        </w:tc>
      </w:tr>
      <w:tr w:rsidR="00EE1758" w:rsidRPr="00EE1758" w:rsidTr="009139F7">
        <w:tc>
          <w:tcPr>
            <w:tcW w:w="433" w:type="pct"/>
            <w:shd w:val="clear" w:color="auto" w:fill="auto"/>
            <w:vAlign w:val="center"/>
          </w:tcPr>
          <w:p w:rsidR="00EE1758" w:rsidRPr="00EE1758" w:rsidRDefault="00EE1758" w:rsidP="00EE1758">
            <w:pPr>
              <w:rPr>
                <w:sz w:val="22"/>
                <w:szCs w:val="22"/>
                <w:lang w:val="lt-LT"/>
              </w:rPr>
            </w:pPr>
          </w:p>
        </w:tc>
        <w:tc>
          <w:tcPr>
            <w:tcW w:w="3533" w:type="pct"/>
            <w:shd w:val="clear" w:color="auto" w:fill="auto"/>
            <w:vAlign w:val="center"/>
          </w:tcPr>
          <w:p w:rsidR="00EE1758" w:rsidRPr="00EE1758" w:rsidRDefault="00EE1758" w:rsidP="00EE1758">
            <w:pPr>
              <w:jc w:val="center"/>
              <w:rPr>
                <w:b/>
                <w:sz w:val="20"/>
                <w:szCs w:val="20"/>
                <w:lang w:val="lt-LT"/>
              </w:rPr>
            </w:pPr>
            <w:r w:rsidRPr="00EE1758">
              <w:rPr>
                <w:b/>
                <w:sz w:val="20"/>
                <w:szCs w:val="20"/>
                <w:lang w:val="lt-LT"/>
              </w:rPr>
              <w:t>NEMATERIALUSIS TURTAS</w:t>
            </w:r>
          </w:p>
        </w:tc>
        <w:tc>
          <w:tcPr>
            <w:tcW w:w="1034" w:type="pct"/>
            <w:shd w:val="clear" w:color="auto" w:fill="auto"/>
            <w:vAlign w:val="center"/>
          </w:tcPr>
          <w:p w:rsidR="00EE1758" w:rsidRPr="00EE1758" w:rsidRDefault="00EE1758" w:rsidP="00EE1758">
            <w:pPr>
              <w:jc w:val="center"/>
              <w:rPr>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1.</w:t>
            </w:r>
          </w:p>
        </w:tc>
        <w:tc>
          <w:tcPr>
            <w:tcW w:w="3533" w:type="pct"/>
            <w:shd w:val="clear" w:color="auto" w:fill="auto"/>
            <w:vAlign w:val="center"/>
          </w:tcPr>
          <w:p w:rsidR="00EE1758" w:rsidRPr="00EE1758" w:rsidRDefault="00EE1758" w:rsidP="00EE1758">
            <w:pPr>
              <w:rPr>
                <w:sz w:val="22"/>
                <w:szCs w:val="22"/>
                <w:lang w:val="lt-LT"/>
              </w:rPr>
            </w:pPr>
            <w:r w:rsidRPr="00EE1758">
              <w:rPr>
                <w:sz w:val="22"/>
                <w:szCs w:val="22"/>
                <w:lang w:val="lt-LT"/>
              </w:rPr>
              <w:t>Programinė įranga, jos licencijos ir techninė dokumentacija</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2.</w:t>
            </w:r>
          </w:p>
        </w:tc>
        <w:tc>
          <w:tcPr>
            <w:tcW w:w="3533" w:type="pct"/>
            <w:shd w:val="clear" w:color="auto" w:fill="auto"/>
            <w:vAlign w:val="center"/>
          </w:tcPr>
          <w:p w:rsidR="00EE1758" w:rsidRPr="00EE1758" w:rsidRDefault="00EE1758" w:rsidP="00EE1758">
            <w:pPr>
              <w:rPr>
                <w:sz w:val="22"/>
                <w:szCs w:val="22"/>
                <w:lang w:val="lt-LT"/>
              </w:rPr>
            </w:pPr>
            <w:r w:rsidRPr="00EE1758">
              <w:rPr>
                <w:sz w:val="22"/>
                <w:szCs w:val="22"/>
                <w:lang w:val="lt-LT"/>
              </w:rPr>
              <w:t>Patentai, išradimai, licencijos, įsigytos kitos teisės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w:t>
            </w:r>
          </w:p>
        </w:tc>
        <w:tc>
          <w:tcPr>
            <w:tcW w:w="3533" w:type="pct"/>
            <w:shd w:val="clear" w:color="auto" w:fill="auto"/>
            <w:vAlign w:val="center"/>
          </w:tcPr>
          <w:p w:rsidR="00EE1758" w:rsidRPr="00EE1758" w:rsidRDefault="00EE1758" w:rsidP="00EE1758">
            <w:pPr>
              <w:rPr>
                <w:sz w:val="22"/>
                <w:szCs w:val="22"/>
                <w:lang w:val="lt-LT"/>
              </w:rPr>
            </w:pPr>
            <w:r w:rsidRPr="00EE1758">
              <w:rPr>
                <w:sz w:val="22"/>
                <w:szCs w:val="22"/>
                <w:lang w:val="lt-LT"/>
              </w:rPr>
              <w:t>Kitas nematerialusis turtas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4</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4.</w:t>
            </w:r>
          </w:p>
        </w:tc>
        <w:tc>
          <w:tcPr>
            <w:tcW w:w="3533" w:type="pct"/>
            <w:shd w:val="clear" w:color="auto" w:fill="auto"/>
            <w:vAlign w:val="center"/>
          </w:tcPr>
          <w:p w:rsidR="00EE1758" w:rsidRPr="00EE1758" w:rsidRDefault="00EE1758" w:rsidP="00EE1758">
            <w:pPr>
              <w:rPr>
                <w:sz w:val="22"/>
                <w:szCs w:val="22"/>
                <w:lang w:val="lt-LT"/>
              </w:rPr>
            </w:pPr>
            <w:r w:rsidRPr="00EE1758">
              <w:rPr>
                <w:sz w:val="22"/>
                <w:szCs w:val="22"/>
                <w:lang w:val="lt-LT"/>
              </w:rPr>
              <w:t>Prestižas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w:t>
            </w:r>
          </w:p>
        </w:tc>
      </w:tr>
    </w:tbl>
    <w:p w:rsidR="00EE1758" w:rsidRPr="00EE1758" w:rsidRDefault="00EE1758" w:rsidP="00EE1758">
      <w:pPr>
        <w:ind w:firstLine="360"/>
        <w:jc w:val="both"/>
        <w:rPr>
          <w:sz w:val="22"/>
          <w:szCs w:val="22"/>
          <w:lang w:val="lt-LT" w:eastAsia="lt-LT"/>
        </w:rPr>
      </w:pPr>
    </w:p>
    <w:p w:rsidR="00EE1758" w:rsidRPr="00EE1758" w:rsidRDefault="00EE1758" w:rsidP="00EE1758">
      <w:pPr>
        <w:keepNext/>
        <w:jc w:val="center"/>
        <w:outlineLvl w:val="2"/>
        <w:rPr>
          <w:b/>
          <w:bCs/>
          <w:lang w:val="lt-LT"/>
        </w:rPr>
      </w:pPr>
      <w:r w:rsidRPr="00EE1758">
        <w:rPr>
          <w:b/>
          <w:bCs/>
          <w:lang w:val="lt-LT"/>
        </w:rPr>
        <w:t>Ilgalaikis materialusis turtas</w:t>
      </w:r>
    </w:p>
    <w:p w:rsidR="00EE1758" w:rsidRPr="00EE1758" w:rsidRDefault="00EE1758" w:rsidP="00EE1758">
      <w:pPr>
        <w:rPr>
          <w:sz w:val="22"/>
          <w:szCs w:val="22"/>
          <w:lang w:val="lt-LT"/>
        </w:rPr>
      </w:pPr>
    </w:p>
    <w:p w:rsidR="00EE1758" w:rsidRPr="00EE1758" w:rsidRDefault="00EE1758" w:rsidP="00EE1758">
      <w:pPr>
        <w:jc w:val="both"/>
        <w:rPr>
          <w:lang w:val="lt-LT"/>
        </w:rPr>
      </w:pPr>
      <w:r w:rsidRPr="00EE1758">
        <w:rPr>
          <w:lang w:val="lt-LT"/>
        </w:rPr>
        <w:tab/>
        <w:t xml:space="preserve">Ilgalaikis materialusis turtas pripažįstamas ir registruojamas apskaitoje, jei jis atitinka ilgalaikio materialiojo turto sąvoką ir VSAFAS nustatytus ilgalaikio materialiojo turto pripažinimo kriterijus. </w:t>
      </w:r>
    </w:p>
    <w:p w:rsidR="00EE1758" w:rsidRPr="00EE1758" w:rsidRDefault="00EE1758" w:rsidP="00EE1758">
      <w:pPr>
        <w:jc w:val="both"/>
        <w:rPr>
          <w:color w:val="FF0000"/>
          <w:lang w:val="lt-LT"/>
        </w:rPr>
      </w:pPr>
      <w:r w:rsidRPr="00EE1758">
        <w:rPr>
          <w:lang w:val="lt-LT"/>
        </w:rPr>
        <w:tab/>
        <w:t xml:space="preserve">Įsigytas ilgalaikis materialusis turtas pirminio pripažinimo momentu apskaitoje registruojamas įsigijimo savikaina. Po pirminio pripažinimo ilgalaikis materialusis turtas, išskyrus kultūros vertybes ir kitas vertybes, finansinėse ataskaitose rodomas įsigijimo savikaina, atėmus sukauptą nusidėvėjimą ir nuvertėjimą, jei jis yra. Likvidacinė vertė – 0. </w:t>
      </w:r>
    </w:p>
    <w:p w:rsidR="00EE1758" w:rsidRPr="00EE1758" w:rsidRDefault="00EE1758" w:rsidP="00EE1758">
      <w:pPr>
        <w:jc w:val="both"/>
        <w:rPr>
          <w:lang w:val="lt-LT"/>
        </w:rPr>
      </w:pPr>
      <w:r w:rsidRPr="00EE1758">
        <w:rPr>
          <w:lang w:val="lt-LT"/>
        </w:rPr>
        <w:tab/>
        <w:t>Neatlygintinai gautas ilgalaikis materialusis turtas ne iš viešojo sektoriaus subjekto registruojamas tikrąja verte pagal įsigijimo dienos būklę. Jei tikrosios vertės patikimai nustatyti negalima, tuomet ilgalaikis materialusis turtas registruojamas simboline vieno euro verte.</w:t>
      </w:r>
    </w:p>
    <w:p w:rsidR="00EE1758" w:rsidRPr="00EE1758" w:rsidRDefault="00EE1758" w:rsidP="00EE1758">
      <w:pPr>
        <w:jc w:val="both"/>
        <w:rPr>
          <w:color w:val="FF0000"/>
          <w:lang w:val="lt-LT"/>
        </w:rPr>
      </w:pPr>
      <w:r w:rsidRPr="00EE1758">
        <w:rPr>
          <w:lang w:val="lt-LT"/>
        </w:rPr>
        <w:tab/>
        <w:t>Neatlygintinai gautas ilgalaikis materialusis turtas iš kito viešojo sektoriaus subjekto registruojamas įsigijimo savikaina, sukauptas nusidėvėjimas bei nuvertėjimas (jei jis yra) pagal ilgalaikio materialiojo turto perdavimo dienos būklę.</w:t>
      </w:r>
    </w:p>
    <w:p w:rsidR="00EE1758" w:rsidRPr="00EE1758" w:rsidRDefault="00EE1758" w:rsidP="00EE1758">
      <w:pPr>
        <w:jc w:val="both"/>
        <w:rPr>
          <w:lang w:val="lt-LT"/>
        </w:rPr>
      </w:pPr>
      <w:r w:rsidRPr="00EE1758">
        <w:rPr>
          <w:lang w:val="lt-LT"/>
        </w:rPr>
        <w:tab/>
        <w:t>Įsigytas ilgalaikis materialusis turtas už simbolinį mokestį registruojamas ilgalaikio materialiojo turto tikrąja verte, jei tikrąją vertę galima patikimai nustatyti ir kai tas subjektas iki turto perdavimo taikė tikrosios vertės metodą. Jei tikrosios vertės negalima patikimai nustatyti, ilgalaikis materialusis turtas registruojamas simboline vieno euro verte.</w:t>
      </w:r>
      <w:r w:rsidRPr="00EE1758">
        <w:rPr>
          <w:lang w:val="lt-LT"/>
        </w:rPr>
        <w:tab/>
      </w:r>
    </w:p>
    <w:p w:rsidR="00EE1758" w:rsidRPr="00EE1758" w:rsidRDefault="00EE1758" w:rsidP="00EE1758">
      <w:pPr>
        <w:jc w:val="both"/>
        <w:rPr>
          <w:lang w:val="lt-LT"/>
        </w:rPr>
      </w:pPr>
      <w:r w:rsidRPr="00EE1758">
        <w:rPr>
          <w:lang w:val="lt-LT"/>
        </w:rPr>
        <w:tab/>
        <w:t>Ilgalaikio materialiojo turto nusidėvėjimas skaičiuojamas taikant tiesiogiai proporcingą (tiesinį) metodą pagal ilgalaikio turto nusidėvėjimo normatyvus, patvirtintus Vilkaviškio rajono savivaldybės tarybos  2014 m. vasario 21 d. sprendimu Nr. B-TS-851 „Dėl ilgalaikio turto naudingo tarnavimo laiko nustatymo“.</w:t>
      </w:r>
    </w:p>
    <w:p w:rsidR="00EE1758" w:rsidRPr="00EE1758" w:rsidRDefault="00EE1758" w:rsidP="00EE1758">
      <w:pPr>
        <w:jc w:val="both"/>
        <w:rPr>
          <w:lang w:val="lt-LT"/>
        </w:rPr>
      </w:pPr>
      <w:r w:rsidRPr="00EE1758">
        <w:rPr>
          <w:lang w:val="lt-LT"/>
        </w:rPr>
        <w:tab/>
        <w:t xml:space="preserve">Ilgalaikio materialaus turto naudingo tarnavimo laikas pateikiamas 2 lentelėje. </w:t>
      </w:r>
    </w:p>
    <w:p w:rsidR="00EE1758" w:rsidRPr="00EE1758" w:rsidRDefault="00EE1758" w:rsidP="00EE1758">
      <w:pPr>
        <w:jc w:val="both"/>
        <w:rPr>
          <w:lang w:val="lt-LT"/>
        </w:rPr>
      </w:pPr>
    </w:p>
    <w:p w:rsidR="00EE1758" w:rsidRPr="00EE1758" w:rsidRDefault="00EE1758" w:rsidP="00EE1758">
      <w:pPr>
        <w:jc w:val="both"/>
        <w:rPr>
          <w:sz w:val="22"/>
          <w:szCs w:val="22"/>
          <w:lang w:val="lt-LT"/>
        </w:rPr>
      </w:pPr>
      <w:r w:rsidRPr="00EE1758">
        <w:rPr>
          <w:b/>
          <w:sz w:val="22"/>
          <w:szCs w:val="22"/>
          <w:lang w:val="lt-LT"/>
        </w:rPr>
        <w:lastRenderedPageBreak/>
        <w:t xml:space="preserve">              </w:t>
      </w:r>
      <w:r w:rsidRPr="00EE1758">
        <w:rPr>
          <w:sz w:val="22"/>
          <w:szCs w:val="22"/>
          <w:lang w:val="lt-LT"/>
        </w:rPr>
        <w:t>2 lentelė. Ilgalaikio materialiojo turto nusidėvėjimo normatyvai metais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6963"/>
        <w:gridCol w:w="2038"/>
      </w:tblGrid>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Eil. Nr.</w:t>
            </w:r>
          </w:p>
        </w:tc>
        <w:tc>
          <w:tcPr>
            <w:tcW w:w="35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Turto grupės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Turto </w:t>
            </w:r>
          </w:p>
          <w:p w:rsidR="00EE1758" w:rsidRPr="00EE1758" w:rsidRDefault="00EE1758" w:rsidP="00EE1758">
            <w:pPr>
              <w:jc w:val="center"/>
              <w:rPr>
                <w:sz w:val="22"/>
                <w:szCs w:val="22"/>
                <w:lang w:val="lt-LT"/>
              </w:rPr>
            </w:pPr>
            <w:r w:rsidRPr="00EE1758">
              <w:rPr>
                <w:sz w:val="22"/>
                <w:szCs w:val="22"/>
                <w:lang w:val="lt-LT"/>
              </w:rPr>
              <w:t xml:space="preserve">nusidėvėjimo   normatyvas </w:t>
            </w:r>
          </w:p>
          <w:p w:rsidR="00EE1758" w:rsidRPr="00EE1758" w:rsidRDefault="00EE1758" w:rsidP="00EE1758">
            <w:pPr>
              <w:jc w:val="center"/>
              <w:rPr>
                <w:sz w:val="22"/>
                <w:szCs w:val="22"/>
                <w:lang w:val="lt-LT"/>
              </w:rPr>
            </w:pPr>
            <w:r w:rsidRPr="00EE1758">
              <w:rPr>
                <w:sz w:val="22"/>
                <w:szCs w:val="22"/>
                <w:lang w:val="lt-LT"/>
              </w:rPr>
              <w:t>(metai)</w:t>
            </w:r>
          </w:p>
        </w:tc>
      </w:tr>
      <w:tr w:rsidR="00EE1758" w:rsidRPr="00EE1758" w:rsidTr="009139F7">
        <w:tc>
          <w:tcPr>
            <w:tcW w:w="433" w:type="pct"/>
            <w:shd w:val="clear" w:color="auto" w:fill="auto"/>
            <w:vAlign w:val="center"/>
          </w:tcPr>
          <w:p w:rsidR="00EE1758" w:rsidRPr="00EE1758" w:rsidRDefault="00EE1758" w:rsidP="00EE1758">
            <w:pPr>
              <w:rPr>
                <w:sz w:val="22"/>
                <w:szCs w:val="22"/>
                <w:lang w:val="lt-LT"/>
              </w:rPr>
            </w:pPr>
          </w:p>
        </w:tc>
        <w:tc>
          <w:tcPr>
            <w:tcW w:w="3533" w:type="pct"/>
            <w:shd w:val="clear" w:color="auto" w:fill="auto"/>
            <w:vAlign w:val="center"/>
          </w:tcPr>
          <w:p w:rsidR="00EE1758" w:rsidRPr="00EE1758" w:rsidRDefault="00EE1758" w:rsidP="00EE1758">
            <w:pPr>
              <w:jc w:val="center"/>
              <w:rPr>
                <w:b/>
                <w:sz w:val="20"/>
                <w:szCs w:val="20"/>
                <w:lang w:val="lt-LT"/>
              </w:rPr>
            </w:pPr>
            <w:r w:rsidRPr="00EE1758">
              <w:rPr>
                <w:b/>
                <w:sz w:val="20"/>
                <w:szCs w:val="20"/>
                <w:lang w:val="lt-LT"/>
              </w:rPr>
              <w:t>MATERIALUSIS TURTAS</w:t>
            </w:r>
          </w:p>
        </w:tc>
        <w:tc>
          <w:tcPr>
            <w:tcW w:w="1034" w:type="pct"/>
            <w:shd w:val="clear" w:color="auto" w:fill="auto"/>
            <w:vAlign w:val="center"/>
          </w:tcPr>
          <w:p w:rsidR="00EE1758" w:rsidRPr="00EE1758" w:rsidRDefault="00EE1758" w:rsidP="00EE1758">
            <w:pPr>
              <w:jc w:val="center"/>
              <w:rPr>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1.</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Pastatai</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1.1.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Kapitaliniai mūriniai pastatai (sienos 2,5 ir daugiau plytų storio, gelžbetonio; perdengimai ir denginiai - gelžbetoniniai ir betoniniai); monolitinio gelžbetonio pastatai, stambių blokų (perdengimai ir denginiai - gelžbetoniniai) pastatai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100 </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1.2.</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Pastatai (sienos - iki 2,5 plytų storio, blokų, monolitinio šlako, betono, lengvų šlako blokų, perdengimai ir denginiai gelžbetoniniai, betoniniai ar mediniai)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75</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2.</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Infrastruktūros ir kiti statiniai</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2.1.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Kiti statiniai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15</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3.</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Mašinos ir įrenginiai</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Filmavimo, fotografavimo, mobiliojo telefono ryšio įrengimai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3 </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3.2.</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Radijo ir televizijos, informacinių ir ryšių technologijų tinklų valdymo įrenginiai ir įranga</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3.3.</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Kitos mašinos ir įrenginiai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10 </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4.</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Transporto priemonės</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4.1.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Lengvieji automobiliai ir jų priekabos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7</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5.</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Baldai ir biuro įranga</w:t>
            </w:r>
          </w:p>
        </w:tc>
        <w:tc>
          <w:tcPr>
            <w:tcW w:w="1034" w:type="pct"/>
            <w:shd w:val="clear" w:color="auto" w:fill="auto"/>
            <w:vAlign w:val="center"/>
          </w:tcPr>
          <w:p w:rsidR="00EE1758" w:rsidRPr="00EE1758" w:rsidRDefault="00EE1758" w:rsidP="00EE1758">
            <w:pPr>
              <w:jc w:val="center"/>
              <w:rPr>
                <w:b/>
                <w:i/>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Baldai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7 </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5.2.</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Kompiuteriai ir jų įranga</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3</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5.3.</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Kopijavimo ir dokumentų dauginimo priemonės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3 </w:t>
            </w:r>
          </w:p>
        </w:tc>
      </w:tr>
      <w:tr w:rsidR="00EE1758" w:rsidRPr="00EE1758" w:rsidTr="009139F7">
        <w:tc>
          <w:tcPr>
            <w:tcW w:w="433" w:type="pct"/>
            <w:shd w:val="clear" w:color="auto" w:fill="auto"/>
            <w:vAlign w:val="center"/>
          </w:tcPr>
          <w:p w:rsidR="00EE1758" w:rsidRPr="00EE1758" w:rsidRDefault="00EE1758" w:rsidP="00EE1758">
            <w:pPr>
              <w:jc w:val="center"/>
              <w:rPr>
                <w:b/>
                <w:sz w:val="22"/>
                <w:szCs w:val="22"/>
                <w:lang w:val="lt-LT"/>
              </w:rPr>
            </w:pPr>
            <w:r w:rsidRPr="00EE1758">
              <w:rPr>
                <w:b/>
                <w:sz w:val="22"/>
                <w:szCs w:val="22"/>
                <w:lang w:val="lt-LT"/>
              </w:rPr>
              <w:t>6.</w:t>
            </w:r>
          </w:p>
        </w:tc>
        <w:tc>
          <w:tcPr>
            <w:tcW w:w="3533" w:type="pct"/>
            <w:shd w:val="clear" w:color="auto" w:fill="auto"/>
            <w:vAlign w:val="center"/>
          </w:tcPr>
          <w:p w:rsidR="00EE1758" w:rsidRPr="00EE1758" w:rsidRDefault="00EE1758" w:rsidP="00EE1758">
            <w:pPr>
              <w:jc w:val="both"/>
              <w:rPr>
                <w:b/>
                <w:sz w:val="22"/>
                <w:szCs w:val="22"/>
                <w:lang w:val="lt-LT"/>
              </w:rPr>
            </w:pPr>
            <w:r w:rsidRPr="00EE1758">
              <w:rPr>
                <w:b/>
                <w:sz w:val="22"/>
                <w:szCs w:val="22"/>
                <w:lang w:val="lt-LT"/>
              </w:rPr>
              <w:t>Kitas ilgalaikis materialusis turtas</w:t>
            </w:r>
          </w:p>
        </w:tc>
        <w:tc>
          <w:tcPr>
            <w:tcW w:w="1034" w:type="pct"/>
            <w:shd w:val="clear" w:color="auto" w:fill="auto"/>
            <w:vAlign w:val="center"/>
          </w:tcPr>
          <w:p w:rsidR="00EE1758" w:rsidRPr="00EE1758" w:rsidRDefault="00EE1758" w:rsidP="00EE1758">
            <w:pPr>
              <w:jc w:val="center"/>
              <w:rPr>
                <w:sz w:val="22"/>
                <w:szCs w:val="22"/>
                <w:lang w:val="lt-LT"/>
              </w:rPr>
            </w:pP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6.1.</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Muzikos instrumentai</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15 </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6.2.</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Scenos meno priemonės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7</w:t>
            </w:r>
          </w:p>
        </w:tc>
      </w:tr>
      <w:tr w:rsidR="00EE1758" w:rsidRPr="00EE1758" w:rsidTr="009139F7">
        <w:tc>
          <w:tcPr>
            <w:tcW w:w="433"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6.3.</w:t>
            </w:r>
          </w:p>
        </w:tc>
        <w:tc>
          <w:tcPr>
            <w:tcW w:w="3533" w:type="pct"/>
            <w:shd w:val="clear" w:color="auto" w:fill="auto"/>
            <w:vAlign w:val="center"/>
          </w:tcPr>
          <w:p w:rsidR="00EE1758" w:rsidRPr="00EE1758" w:rsidRDefault="00EE1758" w:rsidP="00EE1758">
            <w:pPr>
              <w:jc w:val="both"/>
              <w:rPr>
                <w:sz w:val="22"/>
                <w:szCs w:val="22"/>
                <w:lang w:val="lt-LT"/>
              </w:rPr>
            </w:pPr>
            <w:r w:rsidRPr="00EE1758">
              <w:rPr>
                <w:sz w:val="22"/>
                <w:szCs w:val="22"/>
                <w:lang w:val="lt-LT"/>
              </w:rPr>
              <w:t>Ūkinis inventorius ir kiti reikmenys</w:t>
            </w:r>
          </w:p>
        </w:tc>
        <w:tc>
          <w:tcPr>
            <w:tcW w:w="1034" w:type="pct"/>
            <w:shd w:val="clear" w:color="auto" w:fill="auto"/>
            <w:vAlign w:val="center"/>
          </w:tcPr>
          <w:p w:rsidR="00EE1758" w:rsidRPr="00EE1758" w:rsidRDefault="00EE1758" w:rsidP="00EE1758">
            <w:pPr>
              <w:jc w:val="center"/>
              <w:rPr>
                <w:sz w:val="22"/>
                <w:szCs w:val="22"/>
                <w:lang w:val="lt-LT"/>
              </w:rPr>
            </w:pPr>
            <w:r w:rsidRPr="00EE1758">
              <w:rPr>
                <w:sz w:val="22"/>
                <w:szCs w:val="22"/>
                <w:lang w:val="lt-LT"/>
              </w:rPr>
              <w:t xml:space="preserve">7 </w:t>
            </w:r>
          </w:p>
        </w:tc>
      </w:tr>
    </w:tbl>
    <w:p w:rsidR="00EE1758" w:rsidRPr="00EE1758" w:rsidRDefault="00EE1758" w:rsidP="00EE1758">
      <w:pPr>
        <w:jc w:val="both"/>
        <w:rPr>
          <w:lang w:val="lt-LT"/>
        </w:rPr>
      </w:pPr>
    </w:p>
    <w:p w:rsidR="00EE1758" w:rsidRPr="00EE1758" w:rsidRDefault="00EE1758" w:rsidP="00EE1758">
      <w:pPr>
        <w:jc w:val="center"/>
        <w:rPr>
          <w:b/>
          <w:bCs/>
          <w:lang w:val="lt-LT"/>
        </w:rPr>
      </w:pPr>
      <w:r w:rsidRPr="00EE1758">
        <w:rPr>
          <w:b/>
          <w:bCs/>
          <w:lang w:val="lt-LT"/>
        </w:rPr>
        <w:t>Atsargos</w:t>
      </w:r>
    </w:p>
    <w:p w:rsidR="00EE1758" w:rsidRPr="00EE1758" w:rsidRDefault="00EE1758" w:rsidP="00EE1758">
      <w:pPr>
        <w:jc w:val="both"/>
        <w:rPr>
          <w:sz w:val="22"/>
          <w:szCs w:val="22"/>
          <w:lang w:val="lt-LT"/>
        </w:rPr>
      </w:pPr>
    </w:p>
    <w:p w:rsidR="00EE1758" w:rsidRPr="00EE1758" w:rsidRDefault="00EE1758" w:rsidP="00EE1758">
      <w:pPr>
        <w:jc w:val="both"/>
        <w:rPr>
          <w:lang w:val="lt-LT"/>
        </w:rPr>
      </w:pPr>
      <w:r w:rsidRPr="00EE1758">
        <w:rPr>
          <w:lang w:val="lt-LT"/>
        </w:rPr>
        <w:tab/>
        <w:t>Pirminio pripažinimo metu atsargos įvertinamos įsigijimo (pasigaminimo) savikaina, o sudarant finansines ataskaitas – įsigijimo (pasigaminimo) savikaina ar grynąja realizavimo verte, atsižvelgiant į tai, kuri iš jų mažesnė.</w:t>
      </w:r>
    </w:p>
    <w:p w:rsidR="00EE1758" w:rsidRPr="00EE1758" w:rsidRDefault="00EE1758" w:rsidP="00EE1758">
      <w:pPr>
        <w:jc w:val="both"/>
        <w:rPr>
          <w:lang w:val="lt-LT"/>
        </w:rPr>
      </w:pPr>
      <w:r w:rsidRPr="00EE1758">
        <w:rPr>
          <w:lang w:val="lt-LT"/>
        </w:rPr>
        <w:tab/>
        <w:t>Nemokamai gautos atsargos apskaitoje registruojamas grynąja realizavimo verte.</w:t>
      </w:r>
    </w:p>
    <w:p w:rsidR="00EE1758" w:rsidRPr="00EE1758" w:rsidRDefault="00EE1758" w:rsidP="00EE1758">
      <w:pPr>
        <w:jc w:val="both"/>
        <w:rPr>
          <w:lang w:val="lt-LT"/>
        </w:rPr>
      </w:pPr>
      <w:r w:rsidRPr="00EE1758">
        <w:rPr>
          <w:lang w:val="lt-LT"/>
        </w:rPr>
        <w:tab/>
        <w:t>Apskaičiuodama atsargų, sunaudotų teikiant paslaugas, savikainą, įstaiga taiko konkrečių kainų įkainojimo metodiką.</w:t>
      </w:r>
    </w:p>
    <w:p w:rsidR="00EE1758" w:rsidRPr="00EE1758" w:rsidRDefault="00EE1758" w:rsidP="00EE1758">
      <w:pPr>
        <w:jc w:val="both"/>
        <w:rPr>
          <w:lang w:val="lt-LT"/>
        </w:rPr>
      </w:pPr>
      <w:r w:rsidRPr="00EE1758">
        <w:rPr>
          <w:lang w:val="lt-LT"/>
        </w:rPr>
        <w:tab/>
        <w:t>Atsargų sunaudojimas apskaitoje registruojamas pagal apskaitomų atsargų būdą, kai buhalterinėje apskaitoje registruojama  kiekviena su atsargų sunaudojimu susijusi operacija.</w:t>
      </w:r>
    </w:p>
    <w:p w:rsidR="00EE1758" w:rsidRPr="00EE1758" w:rsidRDefault="00EE1758" w:rsidP="00EE1758">
      <w:pPr>
        <w:jc w:val="both"/>
        <w:rPr>
          <w:lang w:val="lt-LT"/>
        </w:rPr>
      </w:pPr>
      <w:r w:rsidRPr="00EE1758">
        <w:rPr>
          <w:lang w:val="lt-LT"/>
        </w:rPr>
        <w:tab/>
        <w:t xml:space="preserve">Prie atsargų priskiriamas neatiduotas naudoti ūkinis inventorius. Naudojamo inventoriaus  apskaita tvarkoma nebalansinėse sąskaitose kiekine ir vertine išraiška. </w:t>
      </w:r>
    </w:p>
    <w:p w:rsidR="00EE1758" w:rsidRPr="00EE1758" w:rsidRDefault="00EE1758" w:rsidP="00EE1758">
      <w:pPr>
        <w:jc w:val="both"/>
        <w:rPr>
          <w:lang w:val="lt-LT"/>
        </w:rPr>
      </w:pPr>
    </w:p>
    <w:p w:rsidR="00EE1758" w:rsidRPr="00EE1758" w:rsidRDefault="00EE1758" w:rsidP="00EE1758">
      <w:pPr>
        <w:jc w:val="center"/>
        <w:rPr>
          <w:b/>
          <w:bCs/>
          <w:lang w:val="lt-LT"/>
        </w:rPr>
      </w:pPr>
      <w:r w:rsidRPr="00EE1758">
        <w:rPr>
          <w:b/>
          <w:bCs/>
          <w:lang w:val="lt-LT"/>
        </w:rPr>
        <w:t>Finansinis turtas</w:t>
      </w:r>
    </w:p>
    <w:p w:rsidR="00EE1758" w:rsidRPr="00EE1758" w:rsidRDefault="00EE1758" w:rsidP="00EE1758">
      <w:pPr>
        <w:jc w:val="center"/>
        <w:rPr>
          <w:b/>
          <w:bCs/>
          <w:lang w:val="lt-LT"/>
        </w:rPr>
      </w:pPr>
    </w:p>
    <w:p w:rsidR="00EE1758" w:rsidRPr="00EE1758" w:rsidRDefault="00EE1758" w:rsidP="00EE1758">
      <w:pPr>
        <w:rPr>
          <w:lang w:val="lt-LT"/>
        </w:rPr>
      </w:pPr>
      <w:r w:rsidRPr="00EE1758">
        <w:rPr>
          <w:lang w:val="lt-LT"/>
        </w:rPr>
        <w:tab/>
        <w:t>Finansinis turtas apskaitoje pripažįstamas tik tada, kai viešojo sektoriaus subjektas gauna arba pagal vykdomą sutartį įgyja teisę gauti pinigus ar kitą finansinį turtą. Pinigai ir kitas finansinis turtas, numatytas gauti pagal planuojamus sandorius, gautus garantinius ir laidavimo raštus, turtu nepripažįstami, kol jie neatitinka finansinio turto apibrėžimo.</w:t>
      </w:r>
    </w:p>
    <w:p w:rsidR="00EE1758" w:rsidRPr="00EE1758" w:rsidRDefault="00EE1758" w:rsidP="00EE1758">
      <w:pPr>
        <w:rPr>
          <w:lang w:val="lt-LT"/>
        </w:rPr>
      </w:pPr>
      <w:r w:rsidRPr="00EE1758">
        <w:rPr>
          <w:lang w:val="lt-LT"/>
        </w:rPr>
        <w:tab/>
        <w:t xml:space="preserve">Pirmą kartą pripažindamas finansinį turtą, viešojo sektoriaus subjektas turi įvertinti jį įsigijimo savikaina, kurią sudaro sumokėta arba mokėtina už jį suma arba kito perduoto turto vertė. </w:t>
      </w:r>
      <w:r w:rsidRPr="00EE1758">
        <w:rPr>
          <w:lang w:val="lt-LT"/>
        </w:rPr>
        <w:tab/>
        <w:t xml:space="preserve">Tiesioginės sandorių sudarymo išlaidos neįtraukiamos į finansinio turto įsigijimo </w:t>
      </w:r>
      <w:r w:rsidRPr="00EE1758">
        <w:rPr>
          <w:lang w:val="lt-LT"/>
        </w:rPr>
        <w:lastRenderedPageBreak/>
        <w:t>savikainą ir pripažįstamos ataskaitinio laikotarpio, kurio metu buvo sudarytas sandoris, finansinės ir investicinės veiklos sąnaudomis.</w:t>
      </w:r>
    </w:p>
    <w:p w:rsidR="00EE1758" w:rsidRPr="00EE1758" w:rsidRDefault="00EE1758" w:rsidP="00EE1758">
      <w:pPr>
        <w:rPr>
          <w:lang w:val="lt-LT"/>
        </w:rPr>
      </w:pPr>
      <w:r w:rsidRPr="00EE1758">
        <w:rPr>
          <w:lang w:val="lt-LT"/>
        </w:rPr>
        <w:tab/>
        <w:t>Pagal mainų sandorį gautas finansinis turtas pirminio pripažinimo metu yra registruojamas įsigijimo savikaina, kurią sudaro mainų sutartyje nustatyta vertė. Jeigu mainų sutartyje vertė nenurodyta ir mainais gauto turto įsigijimo savikainos negalima nustatyti, ji yra lygi perleisto turto tikrajai vertei.</w:t>
      </w:r>
    </w:p>
    <w:p w:rsidR="00EE1758" w:rsidRPr="00EE1758" w:rsidRDefault="00EE1758" w:rsidP="00EE1758">
      <w:pPr>
        <w:rPr>
          <w:lang w:val="lt-LT"/>
        </w:rPr>
      </w:pPr>
      <w:r w:rsidRPr="00EE1758">
        <w:rPr>
          <w:lang w:val="lt-LT"/>
        </w:rPr>
        <w:tab/>
        <w:t>Su finansinio turto mainais susijusios išlaidos pripažįstamos ataskaitinio laikotarpio finansinės ir investicinės veiklos sąnaudomis.</w:t>
      </w:r>
    </w:p>
    <w:p w:rsidR="00EE1758" w:rsidRPr="00EE1758" w:rsidRDefault="00EE1758" w:rsidP="00EE1758">
      <w:pPr>
        <w:rPr>
          <w:lang w:val="lt-LT"/>
        </w:rPr>
      </w:pPr>
      <w:r w:rsidRPr="00EE1758">
        <w:rPr>
          <w:lang w:val="lt-LT"/>
        </w:rPr>
        <w:tab/>
        <w:t xml:space="preserve">Finansiniam turtui priskiriami išankstiniai mokėjimai už finansinį turtą. </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Gautinos sumos</w:t>
      </w:r>
    </w:p>
    <w:p w:rsidR="00EE1758" w:rsidRPr="00EE1758" w:rsidRDefault="00EE1758" w:rsidP="00EE1758">
      <w:pPr>
        <w:jc w:val="center"/>
        <w:rPr>
          <w:b/>
          <w:lang w:val="lt-LT"/>
        </w:rPr>
      </w:pPr>
    </w:p>
    <w:p w:rsidR="00EE1758" w:rsidRPr="00EE1758" w:rsidRDefault="00EE1758" w:rsidP="00EE1758">
      <w:pPr>
        <w:rPr>
          <w:lang w:val="lt-LT"/>
        </w:rPr>
      </w:pPr>
      <w:r w:rsidRPr="00EE1758">
        <w:rPr>
          <w:b/>
          <w:lang w:val="lt-LT"/>
        </w:rPr>
        <w:tab/>
      </w:r>
      <w:r w:rsidRPr="00EE1758">
        <w:rPr>
          <w:lang w:val="lt-LT"/>
        </w:rPr>
        <w:t xml:space="preserve">Gautinos sumos registruojamos tada, kai įstaiga įgyja teisę gauti pinigus ar kitą finansinį turtą. </w:t>
      </w:r>
    </w:p>
    <w:p w:rsidR="00EE1758" w:rsidRPr="00EE1758" w:rsidRDefault="00EE1758" w:rsidP="00EE1758">
      <w:pPr>
        <w:rPr>
          <w:lang w:val="lt-LT"/>
        </w:rPr>
      </w:pPr>
      <w:r w:rsidRPr="00EE1758">
        <w:rPr>
          <w:lang w:val="lt-LT"/>
        </w:rPr>
        <w:tab/>
        <w:t>Gautinos finansavimo sumos apskaitoje registruojamos tuomet, kai tenkinamos šios sąlygos:</w:t>
      </w:r>
    </w:p>
    <w:p w:rsidR="00EE1758" w:rsidRPr="00EE1758" w:rsidRDefault="00EE1758" w:rsidP="00EE1758">
      <w:pPr>
        <w:numPr>
          <w:ilvl w:val="0"/>
          <w:numId w:val="4"/>
        </w:numPr>
        <w:rPr>
          <w:lang w:val="lt-LT"/>
        </w:rPr>
      </w:pPr>
      <w:r w:rsidRPr="00EE1758">
        <w:rPr>
          <w:lang w:val="lt-LT"/>
        </w:rPr>
        <w:t>pateikiama paraiška, neviršijanti programų sąmatose patvirtintų sumų;</w:t>
      </w:r>
    </w:p>
    <w:p w:rsidR="00EE1758" w:rsidRPr="00EE1758" w:rsidRDefault="00EE1758" w:rsidP="00EE1758">
      <w:pPr>
        <w:numPr>
          <w:ilvl w:val="0"/>
          <w:numId w:val="4"/>
        </w:numPr>
        <w:rPr>
          <w:lang w:val="lt-LT"/>
        </w:rPr>
      </w:pPr>
      <w:r w:rsidRPr="00EE1758">
        <w:rPr>
          <w:lang w:val="lt-LT"/>
        </w:rPr>
        <w:t>pateikiama paraiška pagal sudarytą finansavimo sutartį;</w:t>
      </w:r>
    </w:p>
    <w:p w:rsidR="00EE1758" w:rsidRPr="00EE1758" w:rsidRDefault="00EE1758" w:rsidP="00EE1758">
      <w:pPr>
        <w:numPr>
          <w:ilvl w:val="0"/>
          <w:numId w:val="4"/>
        </w:numPr>
        <w:rPr>
          <w:lang w:val="lt-LT"/>
        </w:rPr>
      </w:pPr>
      <w:r w:rsidRPr="00EE1758">
        <w:rPr>
          <w:lang w:val="lt-LT"/>
        </w:rPr>
        <w:t>išimtinais atvejais pagal kitus dokumentus.</w:t>
      </w:r>
    </w:p>
    <w:p w:rsidR="00EE1758" w:rsidRPr="00EE1758" w:rsidRDefault="00EE1758" w:rsidP="00EE1758">
      <w:pPr>
        <w:ind w:left="360"/>
        <w:rPr>
          <w:lang w:val="lt-LT"/>
        </w:rPr>
      </w:pPr>
      <w:r w:rsidRPr="00EE1758">
        <w:rPr>
          <w:lang w:val="lt-LT"/>
        </w:rPr>
        <w:tab/>
        <w:t>Pripažintos gautinomis, finansavimo sumos apskaitoje registruojamos jeigu finansavimo sumos gautos jau patirtoms sąnaudoms kompensuoti. Jeigu finansavimo sumos turi būti gautos  nepiniginiam turtui įsigyti, ateinančių laikotarpių sąnaudoms kompensuoti, kitiems subjektams finansuoti, tuomet registruojamos tik gautinos finansavimo sumos (2 ir 4 klasės sąskaitose).</w:t>
      </w:r>
    </w:p>
    <w:p w:rsidR="00EE1758" w:rsidRPr="00EE1758" w:rsidRDefault="00EE1758" w:rsidP="00EE1758">
      <w:pPr>
        <w:ind w:left="360"/>
        <w:rPr>
          <w:lang w:val="lt-LT"/>
        </w:rPr>
      </w:pPr>
      <w:r w:rsidRPr="00EE1758">
        <w:rPr>
          <w:lang w:val="lt-LT"/>
        </w:rPr>
        <w:tab/>
        <w:t>Gautinos sumos pirminio pripažinimo metu yra įvertinamos įsigijimo savikaina.</w:t>
      </w:r>
    </w:p>
    <w:p w:rsidR="00EE1758" w:rsidRPr="00EE1758" w:rsidRDefault="00EE1758" w:rsidP="00EE1758">
      <w:pPr>
        <w:ind w:left="360"/>
        <w:rPr>
          <w:lang w:val="lt-LT"/>
        </w:rPr>
      </w:pPr>
      <w:r w:rsidRPr="00EE1758">
        <w:rPr>
          <w:lang w:val="lt-LT"/>
        </w:rPr>
        <w:tab/>
        <w:t>Vėliau ilgalaikės gautinos sumos ataskaitose parodomos amortizuota savikaina, atėmus nuvertėjimo nuostolius, o trumpalaikės gautinos sumos ataskaitose parodomos įsigijimo savikaina, atėmus nuvertėjimo nuostolius.</w:t>
      </w:r>
    </w:p>
    <w:p w:rsidR="00EE1758" w:rsidRPr="00EE1758" w:rsidRDefault="00EE1758" w:rsidP="00EE1758">
      <w:pPr>
        <w:rPr>
          <w:lang w:val="lt-LT"/>
        </w:rPr>
      </w:pPr>
    </w:p>
    <w:p w:rsidR="00EE1758" w:rsidRPr="00EE1758" w:rsidRDefault="00EE1758" w:rsidP="00EE1758">
      <w:pPr>
        <w:jc w:val="center"/>
        <w:rPr>
          <w:b/>
          <w:bCs/>
          <w:lang w:val="lt-LT"/>
        </w:rPr>
      </w:pPr>
      <w:r w:rsidRPr="00EE1758">
        <w:rPr>
          <w:b/>
          <w:bCs/>
          <w:lang w:val="lt-LT"/>
        </w:rPr>
        <w:t>Finansavimo sumos</w:t>
      </w:r>
    </w:p>
    <w:p w:rsidR="00EE1758" w:rsidRPr="00EE1758" w:rsidRDefault="00EE1758" w:rsidP="00EE1758">
      <w:pPr>
        <w:jc w:val="both"/>
        <w:rPr>
          <w:lang w:val="lt-LT"/>
        </w:rPr>
      </w:pPr>
    </w:p>
    <w:p w:rsidR="00EE1758" w:rsidRPr="00EE1758" w:rsidRDefault="00EE1758" w:rsidP="00EE1758">
      <w:pPr>
        <w:jc w:val="both"/>
        <w:rPr>
          <w:lang w:val="lt-LT"/>
        </w:rPr>
      </w:pPr>
      <w:r w:rsidRPr="00EE1758">
        <w:rPr>
          <w:lang w:val="lt-LT"/>
        </w:rPr>
        <w:tab/>
        <w:t>Finansavimo sumos apskaitoje skirstomas į gautinas ir gautas. Visos gaunamos finansavimo sumos pagal paskirtį skirstomas į sumas, nepiniginiam turtui įsigyti ir kitoms išlaidoms kompensuoti.</w:t>
      </w:r>
    </w:p>
    <w:p w:rsidR="00EE1758" w:rsidRPr="00EE1758" w:rsidRDefault="00EE1758" w:rsidP="00EE1758">
      <w:pPr>
        <w:jc w:val="both"/>
        <w:rPr>
          <w:lang w:val="lt-LT"/>
        </w:rPr>
      </w:pPr>
      <w:r w:rsidRPr="00EE1758">
        <w:rPr>
          <w:lang w:val="lt-LT"/>
        </w:rPr>
        <w:tab/>
        <w:t>Finansavimo sumos yra grupuojamos pagal privalomas sąskaitų plano sąskaitas į gautas iš valstybės biudžeto, savivaldybės biudžeto, Europos Sąjungos ir tarptautinių organizacijų ir kitų šaltinių.</w:t>
      </w:r>
    </w:p>
    <w:p w:rsidR="00EE1758" w:rsidRPr="00EE1758" w:rsidRDefault="00EE1758" w:rsidP="00EE1758">
      <w:pPr>
        <w:jc w:val="both"/>
        <w:rPr>
          <w:lang w:val="lt-LT"/>
        </w:rPr>
      </w:pPr>
      <w:r w:rsidRPr="00EE1758">
        <w:rPr>
          <w:lang w:val="lt-LT"/>
        </w:rPr>
        <w:tab/>
        <w:t>Gautos (gautinos) ir panaudotos finansavimo sumos arba jų dalis pripažįstamos finansavimo pajamos tais laikotarpiais, kuriais patiriamos su finansavimo sumomis susijusios sąnaudos.</w:t>
      </w:r>
    </w:p>
    <w:p w:rsidR="00EE1758" w:rsidRPr="00EE1758" w:rsidRDefault="00EE1758" w:rsidP="00EE1758">
      <w:pPr>
        <w:jc w:val="both"/>
        <w:rPr>
          <w:lang w:val="lt-LT"/>
        </w:rPr>
      </w:pPr>
      <w:r w:rsidRPr="00EE1758">
        <w:rPr>
          <w:lang w:val="lt-LT"/>
        </w:rPr>
        <w:tab/>
        <w:t>Gautos ir perduotos kitiems viešojo sektoriaus subjektams finansavimo sumos, subjekto sąnaudomis nepripažįstamos. Perdavus finansavimo sumas kitiems viešojo sektoriaus subjektams, mažinamos gautos finansavimo sumos, registruojant perduotas finansavimo sumas. Gautos ir perduotos ne viešojo sektoriaus subjektams finansavimo sumos, registruojamas kaip subjekto sąnaudos, kartu pripažįstant finansavimo, kuris buvo skirtas šiam tikslui pajamas.</w:t>
      </w:r>
    </w:p>
    <w:p w:rsidR="00EE1758" w:rsidRPr="00EE1758" w:rsidRDefault="00EE1758" w:rsidP="00EE1758">
      <w:pPr>
        <w:jc w:val="both"/>
        <w:rPr>
          <w:lang w:val="lt-LT"/>
        </w:rPr>
      </w:pPr>
      <w:r w:rsidRPr="00EE1758">
        <w:rPr>
          <w:lang w:val="lt-LT"/>
        </w:rPr>
        <w:tab/>
      </w:r>
    </w:p>
    <w:p w:rsidR="00EE1758" w:rsidRPr="00EE1758" w:rsidRDefault="00EE1758" w:rsidP="00EE1758">
      <w:pPr>
        <w:jc w:val="center"/>
        <w:rPr>
          <w:b/>
          <w:bCs/>
          <w:lang w:val="lt-LT"/>
        </w:rPr>
      </w:pPr>
      <w:r w:rsidRPr="00EE1758">
        <w:rPr>
          <w:b/>
          <w:lang w:val="lt-LT"/>
        </w:rPr>
        <w:t>Finansiniai  įsipareigojimai</w:t>
      </w:r>
    </w:p>
    <w:p w:rsidR="00EE1758" w:rsidRPr="00EE1758" w:rsidRDefault="00EE1758" w:rsidP="00EE1758">
      <w:pPr>
        <w:jc w:val="both"/>
        <w:rPr>
          <w:lang w:val="lt-LT"/>
        </w:rPr>
      </w:pPr>
    </w:p>
    <w:p w:rsidR="00EE1758" w:rsidRPr="00EE1758" w:rsidRDefault="00EE1758" w:rsidP="00EE1758">
      <w:pPr>
        <w:jc w:val="both"/>
        <w:rPr>
          <w:lang w:val="lt-LT"/>
        </w:rPr>
      </w:pPr>
      <w:r w:rsidRPr="00EE1758">
        <w:rPr>
          <w:lang w:val="lt-LT"/>
        </w:rPr>
        <w:tab/>
        <w:t>Ilgalaikiams finansiniams įsipareigojimams priskiriama: ilgalaikiai atidėjiniai, ilgalaikiai finansinės nuomos (lizingo) įsipareigojimai, kiti ilgalaikiai įsipareigojimai.</w:t>
      </w:r>
    </w:p>
    <w:p w:rsidR="00EE1758" w:rsidRPr="00EE1758" w:rsidRDefault="00EE1758" w:rsidP="00EE1758">
      <w:pPr>
        <w:jc w:val="both"/>
        <w:rPr>
          <w:lang w:val="lt-LT"/>
        </w:rPr>
      </w:pPr>
      <w:r w:rsidRPr="00EE1758">
        <w:rPr>
          <w:lang w:val="lt-LT"/>
        </w:rPr>
        <w:tab/>
        <w:t xml:space="preserve">Trumpalaikiams finansiniams įsipareigojimams priskiriama: trumpalaikiai atidėjiniai, ilgalaikių įsipareigojimų einamųjų metų dalis, trumpalaikiai finansiniai įsipareigojimai, mokėtinos </w:t>
      </w:r>
      <w:r w:rsidRPr="00EE1758">
        <w:rPr>
          <w:lang w:val="lt-LT"/>
        </w:rPr>
        <w:lastRenderedPageBreak/>
        <w:t>dotacijos ir finansavimo sumos, pervestinos sumos, mokėtinos sumos, susijusios su vykdoma veikla.</w:t>
      </w:r>
    </w:p>
    <w:p w:rsidR="00EE1758" w:rsidRPr="00EE1758" w:rsidRDefault="00EE1758" w:rsidP="00EE1758">
      <w:pPr>
        <w:jc w:val="both"/>
        <w:rPr>
          <w:lang w:val="lt-LT"/>
        </w:rPr>
      </w:pPr>
      <w:r w:rsidRPr="00EE1758">
        <w:rPr>
          <w:lang w:val="lt-LT"/>
        </w:rPr>
        <w:tab/>
        <w:t>Pirminio pripažinimo metu finansiniai įsipareigojimai įvertinami savikaina. Vėliau šie įsipareigojimai įvertinami: ilgalaikiai finansiniai įsipareigojimai – amortizuota savikaina; trumpalaikiai finansiniai įsipareigojimai – įsigijimo savikaina.</w:t>
      </w:r>
    </w:p>
    <w:p w:rsidR="00EE1758" w:rsidRPr="00EE1758" w:rsidRDefault="00EE1758" w:rsidP="00EE1758">
      <w:pPr>
        <w:jc w:val="both"/>
        <w:rPr>
          <w:lang w:val="lt-LT"/>
        </w:rPr>
      </w:pPr>
    </w:p>
    <w:p w:rsidR="00EE1758" w:rsidRPr="00EE1758" w:rsidRDefault="00EE1758" w:rsidP="00EE1758">
      <w:pPr>
        <w:jc w:val="center"/>
        <w:rPr>
          <w:b/>
          <w:lang w:val="lt-LT"/>
        </w:rPr>
      </w:pPr>
      <w:r w:rsidRPr="00EE1758">
        <w:rPr>
          <w:b/>
          <w:lang w:val="lt-LT"/>
        </w:rPr>
        <w:t>Atidėjiniai</w:t>
      </w:r>
    </w:p>
    <w:p w:rsidR="00EE1758" w:rsidRPr="00EE1758" w:rsidRDefault="00EE1758" w:rsidP="00EE1758">
      <w:pPr>
        <w:jc w:val="center"/>
        <w:rPr>
          <w:b/>
          <w:lang w:val="lt-LT"/>
        </w:rPr>
      </w:pPr>
    </w:p>
    <w:p w:rsidR="00EE1758" w:rsidRPr="00EE1758" w:rsidRDefault="00EE1758" w:rsidP="00EE1758">
      <w:pPr>
        <w:tabs>
          <w:tab w:val="left" w:pos="72"/>
          <w:tab w:val="left" w:pos="360"/>
          <w:tab w:val="left" w:pos="720"/>
          <w:tab w:val="left" w:pos="1800"/>
        </w:tabs>
        <w:jc w:val="both"/>
        <w:rPr>
          <w:lang w:val="lt-LT"/>
        </w:rPr>
      </w:pPr>
      <w:r w:rsidRPr="00EE1758">
        <w:rPr>
          <w:lang w:val="lt-LT"/>
        </w:rPr>
        <w:tab/>
      </w:r>
      <w:r w:rsidRPr="00EE1758">
        <w:rPr>
          <w:lang w:val="lt-LT"/>
        </w:rPr>
        <w:tab/>
        <w:t xml:space="preserve">  </w:t>
      </w:r>
      <w:r w:rsidRPr="00EE1758">
        <w:rPr>
          <w:lang w:val="lt-LT"/>
        </w:rPr>
        <w:tab/>
        <w:t>Atidėjinys yra įsipareigojimas, kurio galutinės padengimo sumos ar įvykdymo laiko negalima tiksliai apibrėžti, tačiau galima patikimai įvertinti ir kuris kyla dėl praeities ūkinio įvykio. Tuo jis skiriasi nuo sukauptų sąnaudų, kadangi sukauptos sąnaudos jau būna patirtos, tiesiog nėra dar gautas jas pagrindžiantis dokumentas.</w:t>
      </w:r>
    </w:p>
    <w:p w:rsidR="00EE1758" w:rsidRPr="00EE1758" w:rsidRDefault="00EE1758" w:rsidP="00EE1758">
      <w:pPr>
        <w:tabs>
          <w:tab w:val="left" w:pos="72"/>
          <w:tab w:val="left" w:pos="360"/>
          <w:tab w:val="left" w:pos="720"/>
          <w:tab w:val="left" w:pos="1800"/>
        </w:tabs>
        <w:jc w:val="both"/>
        <w:rPr>
          <w:lang w:val="lt-LT"/>
        </w:rPr>
      </w:pPr>
      <w:r w:rsidRPr="00EE1758">
        <w:rPr>
          <w:lang w:val="lt-LT"/>
        </w:rPr>
        <w:tab/>
      </w:r>
      <w:r w:rsidRPr="00EE1758">
        <w:rPr>
          <w:lang w:val="lt-LT"/>
        </w:rPr>
        <w:tab/>
      </w:r>
      <w:r w:rsidRPr="00EE1758">
        <w:rPr>
          <w:lang w:val="lt-LT"/>
        </w:rPr>
        <w:tab/>
        <w:t>Atidėjiniai pripažįstami ir registruojami apskaitoje tada ir tik tada, kai dėl įvykio praeityje įstaiga turi dabartinę teisinę prievolę ar neatšaukiamąjį pasižadėjimą, ir tikėtina, kad jam įvykdyti bus reikalingi ištekliai, o įsipareigojimo suma gali būti patikimai įvertinta. Jei patenkinamos ne visos šios sąlygos, atidėjiniai nėra pripažįstami.</w:t>
      </w:r>
    </w:p>
    <w:p w:rsidR="00EE1758" w:rsidRPr="00EE1758" w:rsidRDefault="00EE1758" w:rsidP="00EE1758">
      <w:pPr>
        <w:tabs>
          <w:tab w:val="left" w:pos="72"/>
          <w:tab w:val="left" w:pos="360"/>
          <w:tab w:val="left" w:pos="720"/>
        </w:tabs>
        <w:jc w:val="both"/>
        <w:rPr>
          <w:lang w:val="lt-LT"/>
        </w:rPr>
      </w:pPr>
      <w:r w:rsidRPr="00EE1758">
        <w:rPr>
          <w:lang w:val="lt-LT"/>
        </w:rPr>
        <w:tab/>
      </w:r>
      <w:r w:rsidRPr="00EE1758">
        <w:rPr>
          <w:lang w:val="lt-LT"/>
        </w:rPr>
        <w:tab/>
      </w:r>
      <w:r w:rsidRPr="00EE1758">
        <w:rPr>
          <w:lang w:val="lt-LT"/>
        </w:rPr>
        <w:tab/>
        <w:t>Atidėjiniai gali būti pripažinti dėl teisinio įsipareigojimo, atsiradusio kaip praeities įvykių pasekmė. Tokiais praeities įvykiais gali būti:</w:t>
      </w:r>
    </w:p>
    <w:p w:rsidR="00EE1758" w:rsidRPr="00EE1758" w:rsidRDefault="00EE1758" w:rsidP="00EE1758">
      <w:pPr>
        <w:tabs>
          <w:tab w:val="left" w:pos="360"/>
          <w:tab w:val="left" w:pos="1620"/>
          <w:tab w:val="left" w:pos="1800"/>
        </w:tabs>
        <w:ind w:left="360"/>
        <w:jc w:val="both"/>
        <w:rPr>
          <w:lang w:val="lt-LT"/>
        </w:rPr>
      </w:pPr>
      <w:r w:rsidRPr="00EE1758">
        <w:rPr>
          <w:lang w:val="lt-LT"/>
        </w:rPr>
        <w:t>1)  sutartys su numatytomis garantijomis;</w:t>
      </w:r>
    </w:p>
    <w:p w:rsidR="00EE1758" w:rsidRPr="00EE1758" w:rsidRDefault="00EE1758" w:rsidP="00EE1758">
      <w:pPr>
        <w:tabs>
          <w:tab w:val="left" w:pos="360"/>
          <w:tab w:val="left" w:pos="1620"/>
          <w:tab w:val="left" w:pos="1800"/>
        </w:tabs>
        <w:ind w:left="360"/>
        <w:jc w:val="both"/>
        <w:rPr>
          <w:lang w:val="lt-LT"/>
        </w:rPr>
      </w:pPr>
      <w:r w:rsidRPr="00EE1758">
        <w:rPr>
          <w:lang w:val="lt-LT"/>
        </w:rPr>
        <w:t>2) įvykį, lemiantį teisinio įsipareigojimo buvimą, įrodantys teismo arba kitų institucijų sprendimai;</w:t>
      </w:r>
    </w:p>
    <w:p w:rsidR="00EE1758" w:rsidRPr="00EE1758" w:rsidRDefault="00EE1758" w:rsidP="00EE1758">
      <w:pPr>
        <w:tabs>
          <w:tab w:val="left" w:pos="360"/>
          <w:tab w:val="left" w:pos="1620"/>
          <w:tab w:val="left" w:pos="1800"/>
        </w:tabs>
        <w:ind w:left="360"/>
        <w:jc w:val="both"/>
        <w:rPr>
          <w:lang w:val="lt-LT"/>
        </w:rPr>
      </w:pPr>
      <w:r w:rsidRPr="00EE1758">
        <w:rPr>
          <w:lang w:val="lt-LT"/>
        </w:rPr>
        <w:t xml:space="preserve">3)   privalomi </w:t>
      </w:r>
      <w:r w:rsidRPr="00EE1758">
        <w:rPr>
          <w:i/>
          <w:lang w:val="lt-LT"/>
        </w:rPr>
        <w:t xml:space="preserve">mokyklos </w:t>
      </w:r>
      <w:r w:rsidRPr="00EE1758">
        <w:rPr>
          <w:lang w:val="lt-LT"/>
        </w:rPr>
        <w:t xml:space="preserve"> vadovybės sprendimai;</w:t>
      </w:r>
    </w:p>
    <w:p w:rsidR="00EE1758" w:rsidRPr="00EE1758" w:rsidRDefault="00EE1758" w:rsidP="00EE1758">
      <w:pPr>
        <w:rPr>
          <w:lang w:val="lt-LT"/>
        </w:rPr>
      </w:pPr>
      <w:r w:rsidRPr="00EE1758">
        <w:rPr>
          <w:lang w:val="lt-LT"/>
        </w:rPr>
        <w:t xml:space="preserve">     </w:t>
      </w:r>
      <w:r w:rsidRPr="00EE1758">
        <w:rPr>
          <w:lang w:val="lt-LT"/>
        </w:rPr>
        <w:tab/>
        <w:t>Atidėjiniai yra peržiūrimi paskutinę ataskaitinio laikotarpio dieną ir koreguojami, atsižvelgiant į naujus įvykius ar aplinkybes, kad parodytų tiksliausią dabartinį įvertinimą.</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Pajamos</w:t>
      </w:r>
    </w:p>
    <w:p w:rsidR="00EE1758" w:rsidRPr="00EE1758" w:rsidRDefault="00EE1758" w:rsidP="00EE1758">
      <w:pPr>
        <w:jc w:val="center"/>
        <w:rPr>
          <w:b/>
          <w:bCs/>
          <w:lang w:val="lt-LT"/>
        </w:rPr>
      </w:pPr>
    </w:p>
    <w:p w:rsidR="00EE1758" w:rsidRPr="00EE1758" w:rsidRDefault="00EE1758" w:rsidP="00EE1758">
      <w:pPr>
        <w:jc w:val="both"/>
        <w:rPr>
          <w:lang w:val="lt-LT"/>
        </w:rPr>
      </w:pPr>
      <w:r w:rsidRPr="00EE1758">
        <w:rPr>
          <w:lang w:val="lt-LT"/>
        </w:rPr>
        <w:tab/>
        <w:t>Pajamų apskaitai taikomas kaupimo principas. Finansavimo pajamos pripažįstamos tuo pačiu laikotarpiu, kai yra patiriamos su šiomis pajamomis susijusios sąnaudos.</w:t>
      </w:r>
    </w:p>
    <w:p w:rsidR="00EE1758" w:rsidRPr="00EE1758" w:rsidRDefault="00EE1758" w:rsidP="00EE1758">
      <w:pPr>
        <w:jc w:val="both"/>
        <w:rPr>
          <w:lang w:val="lt-LT"/>
        </w:rPr>
      </w:pPr>
      <w:r w:rsidRPr="00EE1758">
        <w:rPr>
          <w:lang w:val="lt-LT"/>
        </w:rPr>
        <w:tab/>
        <w:t>Pajamos, išskyrus finansavimo pajamas, pripažįstamos, kai tikėtina, jog įstaiga gaus su sandoriu susijusią ekonominę naudą, kai galima patikimai įvertinti pajamų sumą ir kai įstaiga gali patikimai įvertinti su pajamų uždirbimu susijusias sąnaudas.</w:t>
      </w:r>
    </w:p>
    <w:p w:rsidR="00EE1758" w:rsidRPr="00EE1758" w:rsidRDefault="00EE1758" w:rsidP="00EE1758">
      <w:pPr>
        <w:jc w:val="both"/>
        <w:rPr>
          <w:lang w:val="lt-LT"/>
        </w:rPr>
      </w:pPr>
      <w:r w:rsidRPr="00EE1758">
        <w:rPr>
          <w:lang w:val="lt-LT"/>
        </w:rPr>
        <w:tab/>
        <w:t>Pajamos registruojamos apskaitoje ir rodomos finansinėse tą ataskaitinį laikotarpį, kurį yra uždirbamos, t. y. kurį suteikiamos paslaugos ar parduodamas turtas ar kt., nepriklausomai nuo pinigų gavimo momento.</w:t>
      </w:r>
      <w:r w:rsidRPr="00EE1758">
        <w:rPr>
          <w:lang w:val="lt-LT"/>
        </w:rPr>
        <w:tab/>
      </w:r>
    </w:p>
    <w:p w:rsidR="00EE1758" w:rsidRPr="00EE1758" w:rsidRDefault="00EE1758" w:rsidP="00EE1758">
      <w:pPr>
        <w:jc w:val="both"/>
        <w:rPr>
          <w:lang w:val="lt-LT"/>
        </w:rPr>
      </w:pPr>
    </w:p>
    <w:p w:rsidR="00EE1758" w:rsidRPr="00EE1758" w:rsidRDefault="00EE1758" w:rsidP="00EE1758">
      <w:pPr>
        <w:jc w:val="center"/>
        <w:rPr>
          <w:b/>
          <w:bCs/>
          <w:lang w:val="lt-LT"/>
        </w:rPr>
      </w:pPr>
      <w:r w:rsidRPr="00EE1758">
        <w:rPr>
          <w:b/>
          <w:lang w:val="lt-LT"/>
        </w:rPr>
        <w:t>Sąnaudos</w:t>
      </w:r>
    </w:p>
    <w:p w:rsidR="00EE1758" w:rsidRPr="00EE1758" w:rsidRDefault="00EE1758" w:rsidP="00EE1758">
      <w:pPr>
        <w:jc w:val="both"/>
        <w:rPr>
          <w:lang w:val="lt-LT"/>
        </w:rPr>
      </w:pPr>
    </w:p>
    <w:p w:rsidR="00EE1758" w:rsidRPr="00EE1758" w:rsidRDefault="00EE1758" w:rsidP="00EE1758">
      <w:pPr>
        <w:jc w:val="both"/>
        <w:rPr>
          <w:lang w:val="lt-LT"/>
        </w:rPr>
      </w:pPr>
      <w:r w:rsidRPr="00EE1758">
        <w:rPr>
          <w:lang w:val="lt-LT"/>
        </w:rPr>
        <w:tab/>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patirtos.</w:t>
      </w:r>
    </w:p>
    <w:p w:rsidR="00EE1758" w:rsidRPr="00EE1758" w:rsidRDefault="00EE1758" w:rsidP="00EE1758">
      <w:pPr>
        <w:jc w:val="both"/>
        <w:rPr>
          <w:lang w:val="lt-LT"/>
        </w:rPr>
      </w:pPr>
      <w:r w:rsidRPr="00EE1758">
        <w:rPr>
          <w:lang w:val="lt-LT"/>
        </w:rPr>
        <w:tab/>
        <w:t>Darbo užmokesčio ir valstybinio socialinio draudimo sąnaudos registruojamos kiekvieno mėnesio paskutinę dieną. Apskaitoje darbuotojams mokėti už kasmetines atostogas sumos kaupiamos ir pripažįstamos sąnaudomis kiekvienų ataskaitinių metų  paskutinę dieną.</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Turto nuvertėjimas</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Nuostoliai dėl turto nuvertėjimo apskaitoje pripažįstami pagal nuvertėjimo požymius. Sudarant finansinių ataskaitų rinkinį, nustatoma, ar yra turto nuvertėjimo požymių. Jeigu yra vidinių </w:t>
      </w:r>
      <w:r w:rsidRPr="00EE1758">
        <w:rPr>
          <w:lang w:val="lt-LT"/>
        </w:rPr>
        <w:lastRenderedPageBreak/>
        <w:t>ar išorinių nuvertėjimo požymių, nustatoma turto atsiperkamoji vertė, kuri palyginama su turto balansine verte.</w:t>
      </w:r>
    </w:p>
    <w:p w:rsidR="00EE1758" w:rsidRPr="00EE1758" w:rsidRDefault="00EE1758" w:rsidP="00EE1758">
      <w:pPr>
        <w:rPr>
          <w:lang w:val="lt-LT"/>
        </w:rPr>
      </w:pPr>
      <w:r w:rsidRPr="00EE1758">
        <w:rPr>
          <w:lang w:val="lt-LT"/>
        </w:rPr>
        <w:tab/>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tai yra nuvertėjimo suma nudėvima per likusį naudingo tarnavimo laiką, mažinant nusidėvėjimo sąnaudas.</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Įvykiai pasibaigus ataskaitiniam laikotarpiui</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Įvykiai pasibaigus ataskaitiniam laikotarpiui, kurie suteikia papildomos informacijos apie mokyklos finansinę padėtį ataskaitinio laikotarpio dieną (koreguojantys įvykiai), atsižvelgiant į jų įtakos reikšmę parengtoms finansinėms ataskaitoms, yra parodomi finansinės būklės, veiklos rezultatų ir pinigų srautų ataskaitose. </w:t>
      </w:r>
      <w:r w:rsidRPr="00EE1758">
        <w:rPr>
          <w:lang w:val="lt-LT"/>
        </w:rPr>
        <w:tab/>
        <w:t>Nekoreguojantys įvykiai, pasibaigus ataskaitiniam laikotarpiui aprašomi aiškinamajame rašte, kai jie yra reikšmingi.</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Tarpusavio užskaitos ir palyginamieji skaičiai</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Sudarant finansinių ataskaitų rinkinį, turtas ir įsipareigojimai bei pajamos ir sąnaudos nėra užskaitomos tarpusavyje, išskyrus atvejus, kai konkretus VSAFAS reikalauja būtent tokios užskaitos. Palyginamieji skaičiai yra koreguojami, kad atitiktų ataskaitinių metų finansinius rezultatus. Apskaitos principų bei apskaitinių įverčių pasikeitimai, sudarant ataskaitinio laikotarpio finansinių ataskaitų rinkinį, pateikiami aiškinamajame rašte. </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Apskaitos politikos keitimas</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Mokykla 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 Ūkinių operacijų bei ūkinių įvykių pripažinimo, apskaitos ar dėl jų atsirandančio turto, įsipareigojimų, finansavimo sumų, pajamų ir sąnaudų vertinimo apskaitoje pakeitimas yra laikomas apskaitos politikos keitimu.</w:t>
      </w:r>
    </w:p>
    <w:p w:rsidR="00EE1758" w:rsidRPr="00EE1758" w:rsidRDefault="00EE1758" w:rsidP="00EE1758">
      <w:pPr>
        <w:rPr>
          <w:lang w:val="lt-LT"/>
        </w:rPr>
      </w:pPr>
      <w:r w:rsidRPr="00EE1758">
        <w:rPr>
          <w:lang w:val="lt-LT"/>
        </w:rPr>
        <w:tab/>
        <w:t>Apskaitos politikos keitimas finansinėse ataskaitose parodomas taikant retrospektyvinį būdą, t.y. nauja apskaitos politika taikoma taip, lyg būtų buvusi naudojama, todėl pakeista apskaitos politika yra pritaikoma ūkinėms operacijoms ir ūkiniams įvykiams nuo jų atsiradimo.</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Apskaitinių įverčių keitimas</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Apskaitiniai įverčiai yra peržiūrimi tuo atveju, jei pasikeičia aplinkybės, kurioms buvo remtasi atliekant įvertinimą arba atsiranda papildomos informacijos ar kitų įvykių. Įstaigos apskaitinio </w:t>
      </w:r>
      <w:proofErr w:type="spellStart"/>
      <w:r w:rsidRPr="00EE1758">
        <w:rPr>
          <w:lang w:val="lt-LT"/>
        </w:rPr>
        <w:t>įverčio</w:t>
      </w:r>
      <w:proofErr w:type="spellEnd"/>
      <w:r w:rsidRPr="00EE1758">
        <w:rPr>
          <w:lang w:val="lt-LT"/>
        </w:rPr>
        <w:t xml:space="preserve"> pasikeitimo rezultatas įtraukiamas į tą veiklos rezultatų ataskaitos eilutę, kurioje buvo parodytas pirminis įvertis, nebent pasikeitimas ataskaitiniu laikotarpiu turi įtakos tik finansinės būklės ataskaitos straipsniams. Informacija susijusi su apskaitinio </w:t>
      </w:r>
      <w:proofErr w:type="spellStart"/>
      <w:r w:rsidRPr="00EE1758">
        <w:rPr>
          <w:lang w:val="lt-LT"/>
        </w:rPr>
        <w:t>įverčio</w:t>
      </w:r>
      <w:proofErr w:type="spellEnd"/>
      <w:r w:rsidRPr="00EE1758">
        <w:rPr>
          <w:lang w:val="lt-LT"/>
        </w:rPr>
        <w:t xml:space="preserve"> pakeitimu, pateikiama aiškinamajame rašte.</w:t>
      </w:r>
    </w:p>
    <w:p w:rsidR="00EE1758" w:rsidRPr="00EE1758" w:rsidRDefault="00EE1758" w:rsidP="00EE1758">
      <w:pPr>
        <w:rPr>
          <w:lang w:val="lt-LT"/>
        </w:rPr>
      </w:pPr>
    </w:p>
    <w:p w:rsidR="00EE1758" w:rsidRPr="00EE1758" w:rsidRDefault="00EE1758" w:rsidP="00EE1758">
      <w:pPr>
        <w:jc w:val="center"/>
        <w:rPr>
          <w:b/>
          <w:lang w:val="lt-LT"/>
        </w:rPr>
      </w:pPr>
      <w:r w:rsidRPr="00EE1758">
        <w:rPr>
          <w:b/>
          <w:lang w:val="lt-LT"/>
        </w:rPr>
        <w:t>Apskaitos klaidų taisymas</w:t>
      </w:r>
    </w:p>
    <w:p w:rsidR="00EE1758" w:rsidRPr="00EE1758" w:rsidRDefault="00EE1758" w:rsidP="00EE1758">
      <w:pPr>
        <w:jc w:val="center"/>
        <w:rPr>
          <w:b/>
          <w:lang w:val="lt-LT"/>
        </w:rPr>
      </w:pPr>
    </w:p>
    <w:p w:rsidR="00EE1758" w:rsidRPr="00EE1758" w:rsidRDefault="00EE1758" w:rsidP="00EE1758">
      <w:pPr>
        <w:rPr>
          <w:lang w:val="lt-LT"/>
        </w:rPr>
      </w:pPr>
      <w:r w:rsidRPr="00EE1758">
        <w:rPr>
          <w:lang w:val="lt-LT"/>
        </w:rPr>
        <w:tab/>
        <w:t xml:space="preserve">Ataskaitiniu laikotarpiu gali būti pastebėtos klaidos, padarytos praėjusių ataskaitinių laikotarpių finansinėse ataskaitose. Apskaitos klaida mokykloje laikoma esmine, jei jos vertinė išraiška individuali arba kartu su kitų to ataskaitinio laikotarpio klaidų vertinėmis išraiškomis yra didesnė nei 1,0 procentas per praėjusius finansinius metus gautų finansavimo sumų vertės (6379,44 Eur). </w:t>
      </w:r>
    </w:p>
    <w:p w:rsidR="00EE1758" w:rsidRDefault="00EE1758" w:rsidP="00D35782">
      <w:pPr>
        <w:tabs>
          <w:tab w:val="left" w:pos="0"/>
        </w:tabs>
        <w:jc w:val="both"/>
        <w:rPr>
          <w:lang w:val="lt-LT"/>
        </w:rPr>
      </w:pPr>
    </w:p>
    <w:p w:rsidR="00D35782" w:rsidRPr="0045694A" w:rsidRDefault="00D35782" w:rsidP="00D35782">
      <w:pPr>
        <w:jc w:val="center"/>
        <w:rPr>
          <w:b/>
          <w:lang w:val="lt-LT"/>
        </w:rPr>
      </w:pPr>
      <w:r w:rsidRPr="0045694A">
        <w:rPr>
          <w:b/>
          <w:lang w:val="lt-LT"/>
        </w:rPr>
        <w:t xml:space="preserve">III. </w:t>
      </w:r>
      <w:r w:rsidR="003955A3">
        <w:rPr>
          <w:b/>
          <w:lang w:val="lt-LT"/>
        </w:rPr>
        <w:t xml:space="preserve"> </w:t>
      </w:r>
      <w:r w:rsidRPr="0045694A">
        <w:rPr>
          <w:b/>
          <w:lang w:val="lt-LT"/>
        </w:rPr>
        <w:t>PASTABOS</w:t>
      </w:r>
    </w:p>
    <w:p w:rsidR="00D35782" w:rsidRDefault="00D35782" w:rsidP="00D35782">
      <w:pPr>
        <w:tabs>
          <w:tab w:val="left" w:pos="6300"/>
        </w:tabs>
        <w:ind w:firstLine="720"/>
        <w:jc w:val="both"/>
        <w:rPr>
          <w:lang w:val="lt-LT"/>
        </w:rPr>
      </w:pPr>
    </w:p>
    <w:p w:rsidR="00D35782" w:rsidRPr="002F4EF2" w:rsidRDefault="00D35782" w:rsidP="00D35782">
      <w:pPr>
        <w:numPr>
          <w:ilvl w:val="0"/>
          <w:numId w:val="1"/>
        </w:numPr>
        <w:tabs>
          <w:tab w:val="clear" w:pos="284"/>
          <w:tab w:val="left" w:pos="540"/>
          <w:tab w:val="num" w:pos="900"/>
          <w:tab w:val="left" w:pos="1260"/>
        </w:tabs>
        <w:ind w:firstLine="900"/>
        <w:jc w:val="both"/>
        <w:rPr>
          <w:lang w:val="lt-LT"/>
        </w:rPr>
      </w:pPr>
      <w:r w:rsidRPr="002F4EF2">
        <w:rPr>
          <w:lang w:val="lt-LT"/>
        </w:rPr>
        <w:t>Mokykloje per ataskaitinį laikotarpį klaidų taisymo, kaip nustato 7-asis VSAFAS „Apskaitos politikos, klaidų taisymas”, nebuvo.</w:t>
      </w:r>
    </w:p>
    <w:p w:rsidR="00DB4788" w:rsidRPr="002F4EF2" w:rsidRDefault="00DB4788" w:rsidP="00D35782">
      <w:pPr>
        <w:numPr>
          <w:ilvl w:val="0"/>
          <w:numId w:val="1"/>
        </w:numPr>
        <w:tabs>
          <w:tab w:val="left" w:pos="540"/>
          <w:tab w:val="left" w:pos="1260"/>
        </w:tabs>
        <w:ind w:firstLine="900"/>
        <w:jc w:val="both"/>
        <w:rPr>
          <w:lang w:val="lt-LT"/>
        </w:rPr>
      </w:pPr>
      <w:r w:rsidRPr="002F4EF2">
        <w:rPr>
          <w:lang w:val="lt-LT"/>
        </w:rPr>
        <w:t>Svarbių sąlygų, kurios gali paveikti tolimesnę mokyklos veiklą, nėra.</w:t>
      </w:r>
    </w:p>
    <w:p w:rsidR="00D35782" w:rsidRPr="002F4EF2" w:rsidRDefault="00D35782" w:rsidP="00D35782">
      <w:pPr>
        <w:numPr>
          <w:ilvl w:val="0"/>
          <w:numId w:val="1"/>
        </w:numPr>
        <w:tabs>
          <w:tab w:val="left" w:pos="540"/>
          <w:tab w:val="left" w:pos="1260"/>
        </w:tabs>
        <w:ind w:firstLine="900"/>
        <w:jc w:val="both"/>
        <w:rPr>
          <w:lang w:val="lt-LT"/>
        </w:rPr>
      </w:pPr>
      <w:r w:rsidRPr="002F4EF2">
        <w:rPr>
          <w:lang w:val="lt-LT"/>
        </w:rPr>
        <w:t xml:space="preserve">Neapibrėžtųjų įsipareigojimų ar neapibrėžtojo turto pokyčių nuo ataskaitinių finansinių metų pradžios iki paskutinės tarpinio ataskaitinio laikotarpio dienos </w:t>
      </w:r>
      <w:r w:rsidR="00AE1AAF" w:rsidRPr="002F4EF2">
        <w:rPr>
          <w:lang w:val="lt-LT"/>
        </w:rPr>
        <w:t>nebuvo</w:t>
      </w:r>
      <w:r w:rsidRPr="002F4EF2">
        <w:rPr>
          <w:lang w:val="lt-LT"/>
        </w:rPr>
        <w:t>.</w:t>
      </w:r>
    </w:p>
    <w:p w:rsidR="00D35782" w:rsidRPr="002F4EF2" w:rsidRDefault="00D35782" w:rsidP="00D35782">
      <w:pPr>
        <w:numPr>
          <w:ilvl w:val="0"/>
          <w:numId w:val="1"/>
        </w:numPr>
        <w:tabs>
          <w:tab w:val="left" w:pos="540"/>
          <w:tab w:val="left" w:pos="1260"/>
        </w:tabs>
        <w:ind w:firstLine="900"/>
        <w:jc w:val="both"/>
        <w:rPr>
          <w:lang w:val="lt-LT"/>
        </w:rPr>
      </w:pPr>
      <w:r w:rsidRPr="002F4EF2">
        <w:rPr>
          <w:lang w:val="lt-LT"/>
        </w:rPr>
        <w:t>Mokykla sprendimų dėl teisinių ginčų neturi.</w:t>
      </w:r>
    </w:p>
    <w:p w:rsidR="00D35782" w:rsidRPr="002F4EF2" w:rsidRDefault="00D35782" w:rsidP="00D35782">
      <w:pPr>
        <w:numPr>
          <w:ilvl w:val="0"/>
          <w:numId w:val="1"/>
        </w:numPr>
        <w:tabs>
          <w:tab w:val="left" w:pos="540"/>
          <w:tab w:val="left" w:pos="1260"/>
        </w:tabs>
        <w:ind w:firstLine="900"/>
        <w:jc w:val="both"/>
        <w:rPr>
          <w:lang w:val="lt-LT"/>
        </w:rPr>
      </w:pPr>
      <w:r w:rsidRPr="002F4EF2">
        <w:rPr>
          <w:lang w:val="lt-LT"/>
        </w:rPr>
        <w:t xml:space="preserve">Reikšmingų įvykių po paskutinės tarpinio ataskaitinio laikotarpio dienos </w:t>
      </w:r>
      <w:r w:rsidR="00CD058A" w:rsidRPr="002F4EF2">
        <w:rPr>
          <w:lang w:val="lt-LT"/>
        </w:rPr>
        <w:t>nebuvo</w:t>
      </w:r>
      <w:r w:rsidRPr="002F4EF2">
        <w:rPr>
          <w:lang w:val="lt-LT"/>
        </w:rPr>
        <w:t>.</w:t>
      </w:r>
    </w:p>
    <w:p w:rsidR="00D35782" w:rsidRPr="00F502A2" w:rsidRDefault="00D35782" w:rsidP="00D35782">
      <w:pPr>
        <w:numPr>
          <w:ilvl w:val="0"/>
          <w:numId w:val="1"/>
        </w:numPr>
        <w:tabs>
          <w:tab w:val="left" w:pos="540"/>
          <w:tab w:val="left" w:pos="1260"/>
        </w:tabs>
        <w:ind w:firstLine="900"/>
        <w:jc w:val="both"/>
        <w:rPr>
          <w:lang w:val="lt-LT"/>
        </w:rPr>
      </w:pPr>
      <w:r w:rsidRPr="00F502A2">
        <w:rPr>
          <w:lang w:val="lt-LT"/>
        </w:rPr>
        <w:t xml:space="preserve">Per ataskaitinį laikotarpį </w:t>
      </w:r>
      <w:r w:rsidR="00C02352" w:rsidRPr="00F502A2">
        <w:rPr>
          <w:lang w:val="lt-LT"/>
        </w:rPr>
        <w:t xml:space="preserve">ilgalaikio </w:t>
      </w:r>
      <w:r w:rsidRPr="00F502A2">
        <w:rPr>
          <w:lang w:val="lt-LT"/>
        </w:rPr>
        <w:t>nematerialiojo turto</w:t>
      </w:r>
      <w:r w:rsidR="00C02352" w:rsidRPr="00F502A2">
        <w:rPr>
          <w:lang w:val="lt-LT"/>
        </w:rPr>
        <w:t xml:space="preserve"> </w:t>
      </w:r>
      <w:r w:rsidR="00F502A2" w:rsidRPr="00F502A2">
        <w:rPr>
          <w:lang w:val="lt-LT"/>
        </w:rPr>
        <w:t>neįsigyta ir</w:t>
      </w:r>
      <w:r w:rsidRPr="00F502A2">
        <w:rPr>
          <w:lang w:val="lt-LT"/>
        </w:rPr>
        <w:t xml:space="preserve"> nenurašyta.</w:t>
      </w:r>
    </w:p>
    <w:p w:rsidR="00D35782" w:rsidRDefault="008E5FBC" w:rsidP="00D35782">
      <w:pPr>
        <w:numPr>
          <w:ilvl w:val="0"/>
          <w:numId w:val="1"/>
        </w:numPr>
        <w:tabs>
          <w:tab w:val="left" w:pos="540"/>
          <w:tab w:val="left" w:pos="1260"/>
        </w:tabs>
        <w:ind w:firstLine="900"/>
        <w:jc w:val="both"/>
        <w:rPr>
          <w:lang w:val="lt-LT"/>
        </w:rPr>
      </w:pPr>
      <w:r>
        <w:rPr>
          <w:lang w:val="lt-LT"/>
        </w:rPr>
        <w:t>Per ataskaitinį laikotarpį</w:t>
      </w:r>
      <w:r w:rsidR="00D35782">
        <w:rPr>
          <w:lang w:val="lt-LT"/>
        </w:rPr>
        <w:t xml:space="preserve"> mokykla įsigijo </w:t>
      </w:r>
      <w:r w:rsidR="00111228">
        <w:rPr>
          <w:lang w:val="lt-LT"/>
        </w:rPr>
        <w:t>ilgalaikio materialiojo turto</w:t>
      </w:r>
      <w:r w:rsidR="000D642B">
        <w:rPr>
          <w:lang w:val="lt-LT"/>
        </w:rPr>
        <w:t xml:space="preserve"> </w:t>
      </w:r>
      <w:r w:rsidR="003D6194">
        <w:rPr>
          <w:lang w:val="lt-LT"/>
        </w:rPr>
        <w:t>už</w:t>
      </w:r>
      <w:r w:rsidR="000D642B">
        <w:rPr>
          <w:lang w:val="lt-LT"/>
        </w:rPr>
        <w:t xml:space="preserve"> 1300 </w:t>
      </w:r>
      <w:r w:rsidR="003D6194">
        <w:rPr>
          <w:lang w:val="lt-LT"/>
        </w:rPr>
        <w:t xml:space="preserve">Eur iš </w:t>
      </w:r>
      <w:r w:rsidR="00D35782" w:rsidRPr="008B2E47">
        <w:rPr>
          <w:lang w:val="lt-LT"/>
        </w:rPr>
        <w:t>biudžetinių įstaigų pajamų lėš</w:t>
      </w:r>
      <w:r w:rsidR="00581D54">
        <w:rPr>
          <w:lang w:val="lt-LT"/>
        </w:rPr>
        <w:t xml:space="preserve">ų </w:t>
      </w:r>
      <w:r w:rsidR="00111228">
        <w:rPr>
          <w:lang w:val="lt-LT"/>
        </w:rPr>
        <w:t>(</w:t>
      </w:r>
      <w:r w:rsidR="000D642B">
        <w:rPr>
          <w:lang w:val="lt-LT"/>
        </w:rPr>
        <w:t>klarnetas</w:t>
      </w:r>
      <w:r w:rsidR="00700236">
        <w:rPr>
          <w:lang w:val="lt-LT"/>
        </w:rPr>
        <w:t>)</w:t>
      </w:r>
      <w:r w:rsidR="00D35782" w:rsidRPr="008B2E47">
        <w:rPr>
          <w:lang w:val="lt-LT"/>
        </w:rPr>
        <w:t xml:space="preserve">. </w:t>
      </w:r>
      <w:r w:rsidR="00B20238">
        <w:rPr>
          <w:lang w:val="lt-LT"/>
        </w:rPr>
        <w:t xml:space="preserve">Ilgalaikio materialiojo turto per ataskaitinį laikotarpį </w:t>
      </w:r>
      <w:r w:rsidR="000D642B">
        <w:rPr>
          <w:lang w:val="lt-LT"/>
        </w:rPr>
        <w:t>nenurašyta.</w:t>
      </w:r>
    </w:p>
    <w:p w:rsidR="00D35782" w:rsidRPr="008B2E47" w:rsidRDefault="00D35782" w:rsidP="00D35782">
      <w:pPr>
        <w:numPr>
          <w:ilvl w:val="0"/>
          <w:numId w:val="1"/>
        </w:numPr>
        <w:tabs>
          <w:tab w:val="left" w:pos="540"/>
          <w:tab w:val="left" w:pos="1260"/>
        </w:tabs>
        <w:ind w:firstLine="900"/>
        <w:jc w:val="both"/>
        <w:rPr>
          <w:lang w:val="lt-LT"/>
        </w:rPr>
      </w:pPr>
      <w:r>
        <w:rPr>
          <w:lang w:val="lt-LT"/>
        </w:rPr>
        <w:t>Il</w:t>
      </w:r>
      <w:r w:rsidRPr="008B2E47">
        <w:rPr>
          <w:lang w:val="lt-LT"/>
        </w:rPr>
        <w:t>galaikis materialusis ir nematerialusis turtas per ataskaitinį laikotarpį perkainotas nebuvo.</w:t>
      </w:r>
    </w:p>
    <w:p w:rsidR="00D35782" w:rsidRPr="00854FC3" w:rsidRDefault="00D35782" w:rsidP="00D35782">
      <w:pPr>
        <w:numPr>
          <w:ilvl w:val="0"/>
          <w:numId w:val="1"/>
        </w:numPr>
        <w:tabs>
          <w:tab w:val="left" w:pos="540"/>
          <w:tab w:val="left" w:pos="1260"/>
        </w:tabs>
        <w:ind w:firstLine="900"/>
        <w:jc w:val="both"/>
        <w:rPr>
          <w:lang w:val="lt-LT"/>
        </w:rPr>
      </w:pPr>
      <w:r w:rsidRPr="008A6E69">
        <w:rPr>
          <w:color w:val="FF0000"/>
          <w:lang w:val="lt-LT"/>
        </w:rPr>
        <w:t xml:space="preserve"> </w:t>
      </w:r>
      <w:r w:rsidRPr="00854FC3">
        <w:rPr>
          <w:lang w:val="lt-LT"/>
        </w:rPr>
        <w:t xml:space="preserve">Ataskaitinio laikotarpio </w:t>
      </w:r>
      <w:r w:rsidR="00854FC3">
        <w:rPr>
          <w:lang w:val="lt-LT"/>
        </w:rPr>
        <w:t xml:space="preserve">pabaigoje medžiagų likutis sudarė </w:t>
      </w:r>
      <w:r w:rsidR="00E12CBB">
        <w:rPr>
          <w:lang w:val="lt-LT"/>
        </w:rPr>
        <w:t>28</w:t>
      </w:r>
      <w:r w:rsidR="007F38D9">
        <w:rPr>
          <w:lang w:val="lt-LT"/>
        </w:rPr>
        <w:t>,00</w:t>
      </w:r>
      <w:r w:rsidR="00854FC3">
        <w:rPr>
          <w:lang w:val="lt-LT"/>
        </w:rPr>
        <w:t xml:space="preserve"> Eur </w:t>
      </w:r>
      <w:r w:rsidRPr="00854FC3">
        <w:rPr>
          <w:lang w:val="lt-LT"/>
        </w:rPr>
        <w:t>(degalai).</w:t>
      </w:r>
    </w:p>
    <w:p w:rsidR="00D35782" w:rsidRDefault="00D35782" w:rsidP="00D35782">
      <w:pPr>
        <w:numPr>
          <w:ilvl w:val="0"/>
          <w:numId w:val="1"/>
        </w:numPr>
        <w:tabs>
          <w:tab w:val="left" w:pos="540"/>
          <w:tab w:val="left" w:pos="1260"/>
        </w:tabs>
        <w:ind w:firstLine="900"/>
        <w:jc w:val="both"/>
        <w:rPr>
          <w:lang w:val="lt-LT"/>
        </w:rPr>
      </w:pPr>
      <w:r w:rsidRPr="009A344F">
        <w:rPr>
          <w:lang w:val="lt-LT"/>
        </w:rPr>
        <w:t xml:space="preserve">Išankstinių apmokėjimų sumą </w:t>
      </w:r>
      <w:r w:rsidR="00F82CF3">
        <w:rPr>
          <w:lang w:val="lt-LT"/>
        </w:rPr>
        <w:t>2</w:t>
      </w:r>
      <w:r w:rsidR="007F38D9">
        <w:rPr>
          <w:lang w:val="lt-LT"/>
        </w:rPr>
        <w:t>50,70</w:t>
      </w:r>
      <w:r w:rsidRPr="009A344F">
        <w:rPr>
          <w:lang w:val="lt-LT"/>
        </w:rPr>
        <w:t xml:space="preserve"> </w:t>
      </w:r>
      <w:r>
        <w:rPr>
          <w:lang w:val="lt-LT"/>
        </w:rPr>
        <w:t>Eur</w:t>
      </w:r>
      <w:r w:rsidRPr="009A344F">
        <w:rPr>
          <w:lang w:val="lt-LT"/>
        </w:rPr>
        <w:t xml:space="preserve"> laikotarpio pabaigoje sudaro ateinančių</w:t>
      </w:r>
      <w:r>
        <w:rPr>
          <w:lang w:val="lt-LT"/>
        </w:rPr>
        <w:t xml:space="preserve"> laikotarpių sąnaudos (</w:t>
      </w:r>
      <w:r w:rsidR="00D103FC">
        <w:rPr>
          <w:lang w:val="lt-LT"/>
        </w:rPr>
        <w:t>elektroninio dienyno aptarnavimas</w:t>
      </w:r>
      <w:r>
        <w:rPr>
          <w:lang w:val="lt-LT"/>
        </w:rPr>
        <w:t>,</w:t>
      </w:r>
      <w:r w:rsidR="00D103FC">
        <w:rPr>
          <w:lang w:val="lt-LT"/>
        </w:rPr>
        <w:t xml:space="preserve"> </w:t>
      </w:r>
      <w:r>
        <w:rPr>
          <w:lang w:val="lt-LT"/>
        </w:rPr>
        <w:t>automobilio draudimas bei techninė apžiūra)</w:t>
      </w:r>
      <w:r w:rsidR="00D103FC">
        <w:rPr>
          <w:lang w:val="lt-LT"/>
        </w:rPr>
        <w:t>.</w:t>
      </w:r>
    </w:p>
    <w:p w:rsidR="00D35782" w:rsidRDefault="00D35782" w:rsidP="00D35782">
      <w:pPr>
        <w:numPr>
          <w:ilvl w:val="0"/>
          <w:numId w:val="1"/>
        </w:numPr>
        <w:tabs>
          <w:tab w:val="left" w:pos="540"/>
          <w:tab w:val="left" w:pos="1260"/>
        </w:tabs>
        <w:ind w:firstLine="900"/>
        <w:jc w:val="both"/>
        <w:rPr>
          <w:lang w:val="lt-LT"/>
        </w:rPr>
      </w:pPr>
      <w:r>
        <w:rPr>
          <w:lang w:val="lt-LT"/>
        </w:rPr>
        <w:t>Tėvų įsiskolinim</w:t>
      </w:r>
      <w:r w:rsidR="006B21EC">
        <w:rPr>
          <w:lang w:val="lt-LT"/>
        </w:rPr>
        <w:t xml:space="preserve">as </w:t>
      </w:r>
      <w:r>
        <w:rPr>
          <w:lang w:val="lt-LT"/>
        </w:rPr>
        <w:t xml:space="preserve">už paslaugas laikotarpio pabaigoje </w:t>
      </w:r>
      <w:r w:rsidR="006B21EC">
        <w:rPr>
          <w:lang w:val="lt-LT"/>
        </w:rPr>
        <w:t>sudarė 992 Eur.</w:t>
      </w:r>
    </w:p>
    <w:p w:rsidR="00DA5ADA" w:rsidRDefault="00D35782" w:rsidP="00D35782">
      <w:pPr>
        <w:numPr>
          <w:ilvl w:val="0"/>
          <w:numId w:val="1"/>
        </w:numPr>
        <w:tabs>
          <w:tab w:val="left" w:pos="540"/>
          <w:tab w:val="left" w:pos="1260"/>
        </w:tabs>
        <w:ind w:firstLine="900"/>
        <w:jc w:val="both"/>
        <w:rPr>
          <w:lang w:val="lt-LT"/>
        </w:rPr>
      </w:pPr>
      <w:r>
        <w:rPr>
          <w:lang w:val="lt-LT"/>
        </w:rPr>
        <w:t>Sukauptas gautinas sumas sudar</w:t>
      </w:r>
      <w:r w:rsidR="00922A15">
        <w:rPr>
          <w:lang w:val="lt-LT"/>
        </w:rPr>
        <w:t>ė</w:t>
      </w:r>
      <w:r w:rsidR="00DA5ADA">
        <w:rPr>
          <w:lang w:val="lt-LT"/>
        </w:rPr>
        <w:t>:</w:t>
      </w:r>
    </w:p>
    <w:tbl>
      <w:tblPr>
        <w:tblStyle w:val="Lentelstinklelis"/>
        <w:tblW w:w="0" w:type="auto"/>
        <w:tblInd w:w="392" w:type="dxa"/>
        <w:tblLook w:val="04A0" w:firstRow="1" w:lastRow="0" w:firstColumn="1" w:lastColumn="0" w:noHBand="0" w:noVBand="1"/>
      </w:tblPr>
      <w:tblGrid>
        <w:gridCol w:w="992"/>
        <w:gridCol w:w="6379"/>
        <w:gridCol w:w="1559"/>
      </w:tblGrid>
      <w:tr w:rsidR="00DA5ADA" w:rsidTr="00F00414">
        <w:tc>
          <w:tcPr>
            <w:tcW w:w="992" w:type="dxa"/>
          </w:tcPr>
          <w:p w:rsidR="00DA5ADA" w:rsidRDefault="00DA5ADA" w:rsidP="00F00414">
            <w:pPr>
              <w:tabs>
                <w:tab w:val="left" w:pos="540"/>
                <w:tab w:val="left" w:pos="1260"/>
              </w:tabs>
              <w:jc w:val="center"/>
              <w:rPr>
                <w:lang w:val="lt-LT"/>
              </w:rPr>
            </w:pPr>
            <w:r>
              <w:rPr>
                <w:lang w:val="lt-LT"/>
              </w:rPr>
              <w:t>Eil. Nr.</w:t>
            </w:r>
          </w:p>
        </w:tc>
        <w:tc>
          <w:tcPr>
            <w:tcW w:w="6379" w:type="dxa"/>
          </w:tcPr>
          <w:p w:rsidR="00DA5ADA" w:rsidRDefault="00DA5ADA" w:rsidP="00F00414">
            <w:pPr>
              <w:tabs>
                <w:tab w:val="left" w:pos="540"/>
                <w:tab w:val="left" w:pos="1260"/>
              </w:tabs>
              <w:jc w:val="center"/>
              <w:rPr>
                <w:lang w:val="lt-LT"/>
              </w:rPr>
            </w:pPr>
            <w:r>
              <w:rPr>
                <w:lang w:val="lt-LT"/>
              </w:rPr>
              <w:t>Sukauptos gautinos sumos</w:t>
            </w:r>
          </w:p>
        </w:tc>
        <w:tc>
          <w:tcPr>
            <w:tcW w:w="1559" w:type="dxa"/>
          </w:tcPr>
          <w:p w:rsidR="00DA5ADA" w:rsidRDefault="00DA5ADA" w:rsidP="00F00414">
            <w:pPr>
              <w:tabs>
                <w:tab w:val="left" w:pos="540"/>
                <w:tab w:val="left" w:pos="1260"/>
              </w:tabs>
              <w:jc w:val="center"/>
              <w:rPr>
                <w:lang w:val="lt-LT"/>
              </w:rPr>
            </w:pPr>
            <w:r>
              <w:rPr>
                <w:lang w:val="lt-LT"/>
              </w:rPr>
              <w:t>Suma (Eur)</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1</w:t>
            </w:r>
          </w:p>
        </w:tc>
        <w:tc>
          <w:tcPr>
            <w:tcW w:w="6379" w:type="dxa"/>
          </w:tcPr>
          <w:p w:rsidR="00DA5ADA" w:rsidRDefault="00DA5ADA" w:rsidP="00DA5ADA">
            <w:pPr>
              <w:tabs>
                <w:tab w:val="left" w:pos="540"/>
                <w:tab w:val="left" w:pos="1260"/>
              </w:tabs>
              <w:jc w:val="both"/>
              <w:rPr>
                <w:lang w:val="lt-LT"/>
              </w:rPr>
            </w:pPr>
            <w:r>
              <w:rPr>
                <w:lang w:val="lt-LT"/>
              </w:rPr>
              <w:t>Tiekėjams už suteiktas paslaugas</w:t>
            </w:r>
          </w:p>
        </w:tc>
        <w:tc>
          <w:tcPr>
            <w:tcW w:w="1559" w:type="dxa"/>
          </w:tcPr>
          <w:p w:rsidR="00DA5ADA" w:rsidRDefault="0001554F" w:rsidP="00F00414">
            <w:pPr>
              <w:tabs>
                <w:tab w:val="left" w:pos="540"/>
                <w:tab w:val="left" w:pos="1260"/>
              </w:tabs>
              <w:jc w:val="center"/>
              <w:rPr>
                <w:lang w:val="lt-LT"/>
              </w:rPr>
            </w:pPr>
            <w:r>
              <w:rPr>
                <w:lang w:val="lt-LT"/>
              </w:rPr>
              <w:t>1226,12</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2</w:t>
            </w:r>
          </w:p>
        </w:tc>
        <w:tc>
          <w:tcPr>
            <w:tcW w:w="6379" w:type="dxa"/>
          </w:tcPr>
          <w:p w:rsidR="00DA5ADA" w:rsidRDefault="00DA5ADA" w:rsidP="00F00414">
            <w:pPr>
              <w:tabs>
                <w:tab w:val="left" w:pos="540"/>
                <w:tab w:val="left" w:pos="1260"/>
              </w:tabs>
              <w:jc w:val="both"/>
              <w:rPr>
                <w:lang w:val="lt-LT"/>
              </w:rPr>
            </w:pPr>
            <w:r>
              <w:rPr>
                <w:lang w:val="lt-LT"/>
              </w:rPr>
              <w:t>Išmokos darbuotojams</w:t>
            </w:r>
          </w:p>
        </w:tc>
        <w:tc>
          <w:tcPr>
            <w:tcW w:w="1559" w:type="dxa"/>
          </w:tcPr>
          <w:p w:rsidR="00DA5ADA" w:rsidRDefault="0001554F" w:rsidP="00F00414">
            <w:pPr>
              <w:tabs>
                <w:tab w:val="left" w:pos="540"/>
                <w:tab w:val="left" w:pos="1260"/>
              </w:tabs>
              <w:jc w:val="center"/>
              <w:rPr>
                <w:lang w:val="lt-LT"/>
              </w:rPr>
            </w:pPr>
            <w:r>
              <w:rPr>
                <w:lang w:val="lt-LT"/>
              </w:rPr>
              <w:t>55511,90</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3</w:t>
            </w:r>
          </w:p>
        </w:tc>
        <w:tc>
          <w:tcPr>
            <w:tcW w:w="6379" w:type="dxa"/>
          </w:tcPr>
          <w:p w:rsidR="00DA5ADA" w:rsidRDefault="00DA5ADA" w:rsidP="004E1170">
            <w:pPr>
              <w:tabs>
                <w:tab w:val="left" w:pos="540"/>
                <w:tab w:val="left" w:pos="1260"/>
              </w:tabs>
              <w:jc w:val="both"/>
              <w:rPr>
                <w:lang w:val="lt-LT"/>
              </w:rPr>
            </w:pPr>
            <w:r>
              <w:rPr>
                <w:lang w:val="lt-LT"/>
              </w:rPr>
              <w:t>Mokėtinos darbdavio socialinio draudimo įmokos (</w:t>
            </w:r>
            <w:r w:rsidR="004E1170">
              <w:rPr>
                <w:lang w:val="lt-LT"/>
              </w:rPr>
              <w:t>1,45</w:t>
            </w:r>
            <w:r>
              <w:rPr>
                <w:lang w:val="lt-LT"/>
              </w:rPr>
              <w:t xml:space="preserve"> proc.)</w:t>
            </w:r>
          </w:p>
        </w:tc>
        <w:tc>
          <w:tcPr>
            <w:tcW w:w="1559" w:type="dxa"/>
          </w:tcPr>
          <w:p w:rsidR="00DA5ADA" w:rsidRDefault="00E40A01" w:rsidP="00F00414">
            <w:pPr>
              <w:tabs>
                <w:tab w:val="left" w:pos="540"/>
                <w:tab w:val="left" w:pos="1260"/>
              </w:tabs>
              <w:jc w:val="center"/>
              <w:rPr>
                <w:lang w:val="lt-LT"/>
              </w:rPr>
            </w:pPr>
            <w:r>
              <w:rPr>
                <w:lang w:val="lt-LT"/>
              </w:rPr>
              <w:t>810,11</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4</w:t>
            </w:r>
          </w:p>
        </w:tc>
        <w:tc>
          <w:tcPr>
            <w:tcW w:w="6379" w:type="dxa"/>
          </w:tcPr>
          <w:p w:rsidR="00DA5ADA" w:rsidRDefault="00DA5ADA" w:rsidP="00F00414">
            <w:pPr>
              <w:tabs>
                <w:tab w:val="left" w:pos="540"/>
                <w:tab w:val="left" w:pos="1260"/>
              </w:tabs>
              <w:jc w:val="both"/>
              <w:rPr>
                <w:lang w:val="lt-LT"/>
              </w:rPr>
            </w:pPr>
            <w:r>
              <w:rPr>
                <w:lang w:val="lt-LT"/>
              </w:rPr>
              <w:t>Sukaupti atostoginiai</w:t>
            </w:r>
          </w:p>
        </w:tc>
        <w:tc>
          <w:tcPr>
            <w:tcW w:w="1559" w:type="dxa"/>
          </w:tcPr>
          <w:p w:rsidR="00DA5ADA" w:rsidRDefault="00E40A01" w:rsidP="00F00414">
            <w:pPr>
              <w:tabs>
                <w:tab w:val="left" w:pos="540"/>
                <w:tab w:val="left" w:pos="1260"/>
              </w:tabs>
              <w:jc w:val="center"/>
              <w:rPr>
                <w:lang w:val="lt-LT"/>
              </w:rPr>
            </w:pPr>
            <w:r>
              <w:rPr>
                <w:lang w:val="lt-LT"/>
              </w:rPr>
              <w:t>36358,84</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5</w:t>
            </w:r>
          </w:p>
        </w:tc>
        <w:tc>
          <w:tcPr>
            <w:tcW w:w="6379" w:type="dxa"/>
          </w:tcPr>
          <w:p w:rsidR="00DA5ADA" w:rsidRDefault="00DA5ADA" w:rsidP="00F00414">
            <w:pPr>
              <w:tabs>
                <w:tab w:val="left" w:pos="540"/>
                <w:tab w:val="left" w:pos="1260"/>
              </w:tabs>
              <w:jc w:val="both"/>
              <w:rPr>
                <w:lang w:val="lt-LT"/>
              </w:rPr>
            </w:pPr>
            <w:r>
              <w:rPr>
                <w:lang w:val="lt-LT"/>
              </w:rPr>
              <w:t>Sukauptos valstybino socialinio draudimo įmokos</w:t>
            </w:r>
          </w:p>
        </w:tc>
        <w:tc>
          <w:tcPr>
            <w:tcW w:w="1559" w:type="dxa"/>
          </w:tcPr>
          <w:p w:rsidR="00DA5ADA" w:rsidRDefault="004E1170" w:rsidP="00F00414">
            <w:pPr>
              <w:tabs>
                <w:tab w:val="left" w:pos="540"/>
                <w:tab w:val="left" w:pos="1260"/>
              </w:tabs>
              <w:jc w:val="center"/>
              <w:rPr>
                <w:lang w:val="lt-LT"/>
              </w:rPr>
            </w:pPr>
            <w:r>
              <w:rPr>
                <w:lang w:val="lt-LT"/>
              </w:rPr>
              <w:t>527,20</w:t>
            </w:r>
          </w:p>
        </w:tc>
      </w:tr>
      <w:tr w:rsidR="00DA5ADA" w:rsidTr="00F00414">
        <w:tc>
          <w:tcPr>
            <w:tcW w:w="992" w:type="dxa"/>
          </w:tcPr>
          <w:p w:rsidR="00DA5ADA" w:rsidRDefault="00DA5ADA" w:rsidP="00F00414">
            <w:pPr>
              <w:tabs>
                <w:tab w:val="left" w:pos="540"/>
                <w:tab w:val="left" w:pos="1260"/>
              </w:tabs>
              <w:jc w:val="center"/>
              <w:rPr>
                <w:lang w:val="lt-LT"/>
              </w:rPr>
            </w:pPr>
            <w:r>
              <w:rPr>
                <w:lang w:val="lt-LT"/>
              </w:rPr>
              <w:t>6</w:t>
            </w:r>
          </w:p>
        </w:tc>
        <w:tc>
          <w:tcPr>
            <w:tcW w:w="6379" w:type="dxa"/>
          </w:tcPr>
          <w:p w:rsidR="00DA5ADA" w:rsidRDefault="00856A85" w:rsidP="00F00414">
            <w:pPr>
              <w:tabs>
                <w:tab w:val="left" w:pos="540"/>
                <w:tab w:val="left" w:pos="1260"/>
              </w:tabs>
              <w:jc w:val="both"/>
              <w:rPr>
                <w:lang w:val="lt-LT"/>
              </w:rPr>
            </w:pPr>
            <w:r>
              <w:rPr>
                <w:lang w:val="lt-LT"/>
              </w:rPr>
              <w:t>Sukauptos pajamos už paslaugas (iždas)</w:t>
            </w:r>
          </w:p>
        </w:tc>
        <w:tc>
          <w:tcPr>
            <w:tcW w:w="1559" w:type="dxa"/>
          </w:tcPr>
          <w:p w:rsidR="00DA5ADA" w:rsidRDefault="00E40A01" w:rsidP="00F00414">
            <w:pPr>
              <w:tabs>
                <w:tab w:val="left" w:pos="540"/>
                <w:tab w:val="left" w:pos="1260"/>
              </w:tabs>
              <w:jc w:val="center"/>
              <w:rPr>
                <w:lang w:val="lt-LT"/>
              </w:rPr>
            </w:pPr>
            <w:r>
              <w:rPr>
                <w:lang w:val="lt-LT"/>
              </w:rPr>
              <w:t>10216,10</w:t>
            </w:r>
          </w:p>
        </w:tc>
      </w:tr>
      <w:tr w:rsidR="00DA5ADA" w:rsidRPr="00CC2014" w:rsidTr="00F00414">
        <w:tc>
          <w:tcPr>
            <w:tcW w:w="7371" w:type="dxa"/>
            <w:gridSpan w:val="2"/>
          </w:tcPr>
          <w:p w:rsidR="00DA5ADA" w:rsidRPr="00CC2014" w:rsidRDefault="00DA5ADA" w:rsidP="00B554A4">
            <w:pPr>
              <w:tabs>
                <w:tab w:val="left" w:pos="540"/>
                <w:tab w:val="left" w:pos="1260"/>
              </w:tabs>
              <w:jc w:val="center"/>
              <w:rPr>
                <w:b/>
                <w:lang w:val="lt-LT"/>
              </w:rPr>
            </w:pPr>
            <w:r w:rsidRPr="00CC2014">
              <w:rPr>
                <w:b/>
                <w:lang w:val="lt-LT"/>
              </w:rPr>
              <w:t xml:space="preserve">Iš viso </w:t>
            </w:r>
            <w:r w:rsidR="00B554A4">
              <w:rPr>
                <w:b/>
                <w:lang w:val="lt-LT"/>
              </w:rPr>
              <w:t>sukauptos gautinos sumos</w:t>
            </w:r>
          </w:p>
        </w:tc>
        <w:tc>
          <w:tcPr>
            <w:tcW w:w="1559" w:type="dxa"/>
          </w:tcPr>
          <w:p w:rsidR="00DA5ADA" w:rsidRPr="00CC2014" w:rsidRDefault="0001554F" w:rsidP="00F00414">
            <w:pPr>
              <w:tabs>
                <w:tab w:val="left" w:pos="540"/>
                <w:tab w:val="left" w:pos="1260"/>
              </w:tabs>
              <w:jc w:val="center"/>
              <w:rPr>
                <w:b/>
                <w:lang w:val="lt-LT"/>
              </w:rPr>
            </w:pPr>
            <w:r>
              <w:rPr>
                <w:b/>
                <w:lang w:val="lt-LT"/>
              </w:rPr>
              <w:t>104650,27</w:t>
            </w:r>
          </w:p>
        </w:tc>
      </w:tr>
    </w:tbl>
    <w:p w:rsidR="00D35782" w:rsidRPr="00D01B5A" w:rsidRDefault="00D35782" w:rsidP="00D35782">
      <w:pPr>
        <w:numPr>
          <w:ilvl w:val="0"/>
          <w:numId w:val="1"/>
        </w:numPr>
        <w:tabs>
          <w:tab w:val="left" w:pos="540"/>
          <w:tab w:val="left" w:pos="1260"/>
        </w:tabs>
        <w:ind w:firstLine="900"/>
        <w:jc w:val="both"/>
        <w:rPr>
          <w:lang w:val="lt-LT"/>
        </w:rPr>
      </w:pPr>
      <w:r w:rsidRPr="00D01B5A">
        <w:rPr>
          <w:lang w:val="lt-LT"/>
        </w:rPr>
        <w:t xml:space="preserve">Ataskaitinio laikotarpio pabaigoje </w:t>
      </w:r>
      <w:r>
        <w:rPr>
          <w:lang w:val="lt-LT"/>
        </w:rPr>
        <w:t xml:space="preserve">banko sąskaitose pinigų likutis buvo </w:t>
      </w:r>
      <w:r w:rsidR="00F0793C">
        <w:rPr>
          <w:lang w:val="lt-LT"/>
        </w:rPr>
        <w:t>4951,22</w:t>
      </w:r>
      <w:r>
        <w:rPr>
          <w:lang w:val="lt-LT"/>
        </w:rPr>
        <w:t xml:space="preserve"> Eur (</w:t>
      </w:r>
      <w:r w:rsidR="0029424D">
        <w:rPr>
          <w:lang w:val="lt-LT"/>
        </w:rPr>
        <w:t>B</w:t>
      </w:r>
      <w:r>
        <w:rPr>
          <w:lang w:val="lt-LT"/>
        </w:rPr>
        <w:t xml:space="preserve">iudžetinių įstaigų pajamų lėšos – </w:t>
      </w:r>
      <w:r w:rsidR="00F0793C">
        <w:rPr>
          <w:lang w:val="lt-LT"/>
        </w:rPr>
        <w:t>1483,48</w:t>
      </w:r>
      <w:r>
        <w:rPr>
          <w:lang w:val="lt-LT"/>
        </w:rPr>
        <w:t xml:space="preserve"> Eur,</w:t>
      </w:r>
      <w:r w:rsidR="00970210">
        <w:rPr>
          <w:lang w:val="lt-LT"/>
        </w:rPr>
        <w:t xml:space="preserve"> </w:t>
      </w:r>
      <w:r w:rsidR="0029424D">
        <w:rPr>
          <w:lang w:val="lt-LT"/>
        </w:rPr>
        <w:t>K</w:t>
      </w:r>
      <w:r>
        <w:rPr>
          <w:lang w:val="lt-LT"/>
        </w:rPr>
        <w:t xml:space="preserve">iti šaltiniai –  </w:t>
      </w:r>
      <w:r w:rsidR="00F0793C">
        <w:rPr>
          <w:lang w:val="lt-LT"/>
        </w:rPr>
        <w:t>3443,74</w:t>
      </w:r>
      <w:r w:rsidR="0029424D">
        <w:rPr>
          <w:lang w:val="lt-LT"/>
        </w:rPr>
        <w:t xml:space="preserve"> </w:t>
      </w:r>
      <w:r>
        <w:rPr>
          <w:lang w:val="lt-LT"/>
        </w:rPr>
        <w:t>Eur</w:t>
      </w:r>
      <w:r w:rsidR="00F0793C">
        <w:rPr>
          <w:lang w:val="lt-LT"/>
        </w:rPr>
        <w:t>, Tėvų įmokų lėšos – 24 Eur</w:t>
      </w:r>
      <w:r>
        <w:rPr>
          <w:lang w:val="lt-LT"/>
        </w:rPr>
        <w:t>).</w:t>
      </w:r>
    </w:p>
    <w:p w:rsidR="00D35782" w:rsidRDefault="00D35782" w:rsidP="00D35782">
      <w:pPr>
        <w:numPr>
          <w:ilvl w:val="0"/>
          <w:numId w:val="1"/>
        </w:numPr>
        <w:tabs>
          <w:tab w:val="left" w:pos="540"/>
          <w:tab w:val="left" w:pos="1260"/>
        </w:tabs>
        <w:ind w:firstLine="900"/>
        <w:jc w:val="both"/>
        <w:rPr>
          <w:lang w:val="lt-LT"/>
        </w:rPr>
      </w:pPr>
      <w:r>
        <w:rPr>
          <w:lang w:val="lt-LT"/>
        </w:rPr>
        <w:t>Finansavimo sum</w:t>
      </w:r>
      <w:r w:rsidR="00345F9C">
        <w:rPr>
          <w:lang w:val="lt-LT"/>
        </w:rPr>
        <w:t>ų likutis ataskaitinio laikotarpio pabaigoje sudarė</w:t>
      </w:r>
      <w:r>
        <w:rPr>
          <w:lang w:val="lt-LT"/>
        </w:rPr>
        <w:t xml:space="preserve"> </w:t>
      </w:r>
      <w:r w:rsidR="00263AC7">
        <w:rPr>
          <w:lang w:val="lt-LT"/>
        </w:rPr>
        <w:t>93449,30</w:t>
      </w:r>
      <w:r>
        <w:rPr>
          <w:lang w:val="lt-LT"/>
        </w:rPr>
        <w:t xml:space="preserve"> Eur. </w:t>
      </w:r>
      <w:r w:rsidRPr="00D01B5A">
        <w:rPr>
          <w:lang w:val="lt-LT"/>
        </w:rPr>
        <w:t>Išsami informacija apie finansavimo sumas pagal šaltinį, tikslinę paskirtį ir jų pokyčius per ataskaitinį laikotarpį pateikiama 20-ojo VSAFAS „Finansavimo sumos” 4 priede.</w:t>
      </w:r>
    </w:p>
    <w:p w:rsidR="00513084" w:rsidRDefault="00D35782" w:rsidP="00D35782">
      <w:pPr>
        <w:tabs>
          <w:tab w:val="left" w:pos="540"/>
          <w:tab w:val="left" w:pos="1260"/>
        </w:tabs>
        <w:jc w:val="both"/>
        <w:rPr>
          <w:lang w:val="lt-LT"/>
        </w:rPr>
      </w:pPr>
      <w:r>
        <w:rPr>
          <w:lang w:val="lt-LT"/>
        </w:rPr>
        <w:tab/>
        <w:t>Iš valstybės biudžeto gaut</w:t>
      </w:r>
      <w:r w:rsidR="00345F9C">
        <w:rPr>
          <w:lang w:val="lt-LT"/>
        </w:rPr>
        <w:t xml:space="preserve">a kitoms išlaidoms kompensuoti </w:t>
      </w:r>
      <w:r w:rsidR="004D648C">
        <w:rPr>
          <w:lang w:val="lt-LT"/>
        </w:rPr>
        <w:t>1051</w:t>
      </w:r>
      <w:r w:rsidR="00F9583C">
        <w:rPr>
          <w:lang w:val="lt-LT"/>
        </w:rPr>
        <w:t>55</w:t>
      </w:r>
      <w:r w:rsidR="004D648C">
        <w:rPr>
          <w:lang w:val="lt-LT"/>
        </w:rPr>
        <w:t>,4</w:t>
      </w:r>
      <w:r w:rsidR="00F9583C">
        <w:rPr>
          <w:lang w:val="lt-LT"/>
        </w:rPr>
        <w:t>2</w:t>
      </w:r>
      <w:r w:rsidR="00345F9C">
        <w:rPr>
          <w:lang w:val="lt-LT"/>
        </w:rPr>
        <w:t xml:space="preserve"> Eur (</w:t>
      </w:r>
      <w:r w:rsidR="004D648C">
        <w:rPr>
          <w:lang w:val="lt-LT"/>
        </w:rPr>
        <w:t>ML – 769</w:t>
      </w:r>
      <w:r w:rsidR="00F9583C">
        <w:rPr>
          <w:lang w:val="lt-LT"/>
        </w:rPr>
        <w:t>55</w:t>
      </w:r>
      <w:r w:rsidR="004D648C">
        <w:rPr>
          <w:lang w:val="lt-LT"/>
        </w:rPr>
        <w:t>,4</w:t>
      </w:r>
      <w:r w:rsidR="00F9583C">
        <w:rPr>
          <w:lang w:val="lt-LT"/>
        </w:rPr>
        <w:t>2</w:t>
      </w:r>
      <w:r w:rsidR="004D648C">
        <w:rPr>
          <w:lang w:val="lt-LT"/>
        </w:rPr>
        <w:t xml:space="preserve"> Eur, C – 28200 Eur</w:t>
      </w:r>
      <w:r w:rsidR="001D3DC1">
        <w:rPr>
          <w:lang w:val="lt-LT"/>
        </w:rPr>
        <w:t>)</w:t>
      </w:r>
      <w:r w:rsidR="00BB4275">
        <w:rPr>
          <w:lang w:val="lt-LT"/>
        </w:rPr>
        <w:t>.</w:t>
      </w:r>
      <w:r>
        <w:rPr>
          <w:lang w:val="lt-LT"/>
        </w:rPr>
        <w:t xml:space="preserve"> Neatlygintinai gautas turtas iš </w:t>
      </w:r>
      <w:r w:rsidR="001553D0">
        <w:rPr>
          <w:lang w:val="lt-LT"/>
        </w:rPr>
        <w:t xml:space="preserve">VB – </w:t>
      </w:r>
      <w:r w:rsidR="004D648C">
        <w:rPr>
          <w:lang w:val="lt-LT"/>
        </w:rPr>
        <w:t>25</w:t>
      </w:r>
      <w:r w:rsidR="00513084">
        <w:rPr>
          <w:lang w:val="lt-LT"/>
        </w:rPr>
        <w:t xml:space="preserve"> </w:t>
      </w:r>
      <w:r>
        <w:rPr>
          <w:lang w:val="lt-LT"/>
        </w:rPr>
        <w:t>Eur.</w:t>
      </w:r>
    </w:p>
    <w:p w:rsidR="00946F33" w:rsidRDefault="00D35782" w:rsidP="00D35782">
      <w:pPr>
        <w:tabs>
          <w:tab w:val="left" w:pos="540"/>
          <w:tab w:val="left" w:pos="1260"/>
        </w:tabs>
        <w:jc w:val="both"/>
        <w:rPr>
          <w:lang w:val="lt-LT"/>
        </w:rPr>
      </w:pPr>
      <w:r>
        <w:rPr>
          <w:lang w:val="lt-LT"/>
        </w:rPr>
        <w:tab/>
        <w:t>Iš savivaldybės biudžeto gaut</w:t>
      </w:r>
      <w:r w:rsidR="007D0D7F">
        <w:rPr>
          <w:lang w:val="lt-LT"/>
        </w:rPr>
        <w:t>a</w:t>
      </w:r>
      <w:r>
        <w:rPr>
          <w:lang w:val="lt-LT"/>
        </w:rPr>
        <w:t xml:space="preserve"> </w:t>
      </w:r>
      <w:r w:rsidR="00481065">
        <w:rPr>
          <w:lang w:val="lt-LT"/>
        </w:rPr>
        <w:t xml:space="preserve">kitoms </w:t>
      </w:r>
      <w:r>
        <w:rPr>
          <w:lang w:val="lt-LT"/>
        </w:rPr>
        <w:t xml:space="preserve">išlaidoms </w:t>
      </w:r>
      <w:r w:rsidR="007D0D7F">
        <w:rPr>
          <w:lang w:val="lt-LT"/>
        </w:rPr>
        <w:t xml:space="preserve">kompensuoti </w:t>
      </w:r>
      <w:r w:rsidR="00D55DDB">
        <w:rPr>
          <w:lang w:val="lt-LT"/>
        </w:rPr>
        <w:t>353317,45</w:t>
      </w:r>
      <w:r>
        <w:rPr>
          <w:lang w:val="lt-LT"/>
        </w:rPr>
        <w:t xml:space="preserve"> Eur</w:t>
      </w:r>
      <w:r w:rsidR="00481065">
        <w:rPr>
          <w:lang w:val="lt-LT"/>
        </w:rPr>
        <w:t xml:space="preserve"> (SF asignavimai – </w:t>
      </w:r>
      <w:r w:rsidR="00D55DDB">
        <w:rPr>
          <w:lang w:val="lt-LT"/>
        </w:rPr>
        <w:t>350039,45</w:t>
      </w:r>
      <w:r w:rsidR="00432642">
        <w:rPr>
          <w:lang w:val="lt-LT"/>
        </w:rPr>
        <w:t xml:space="preserve"> Eur</w:t>
      </w:r>
      <w:r w:rsidR="00D55DDB">
        <w:rPr>
          <w:lang w:val="lt-LT"/>
        </w:rPr>
        <w:t>, Savivaldybės administracija – 3278 Eur</w:t>
      </w:r>
      <w:r w:rsidR="00685476">
        <w:rPr>
          <w:lang w:val="lt-LT"/>
        </w:rPr>
        <w:t>)</w:t>
      </w:r>
      <w:r>
        <w:rPr>
          <w:lang w:val="lt-LT"/>
        </w:rPr>
        <w:t xml:space="preserve">. </w:t>
      </w:r>
      <w:r w:rsidR="00432642">
        <w:rPr>
          <w:lang w:val="lt-LT"/>
        </w:rPr>
        <w:t xml:space="preserve">Ataskaitinio laikotarpio eigoje </w:t>
      </w:r>
      <w:r w:rsidR="00CB6D41">
        <w:rPr>
          <w:lang w:val="lt-LT"/>
        </w:rPr>
        <w:t>1293,47</w:t>
      </w:r>
      <w:r w:rsidR="00432642">
        <w:rPr>
          <w:lang w:val="lt-LT"/>
        </w:rPr>
        <w:t xml:space="preserve"> Eur perkelta nepiniginiam turtui įsigyti. </w:t>
      </w:r>
      <w:r w:rsidR="00ED645F">
        <w:rPr>
          <w:lang w:val="lt-LT"/>
        </w:rPr>
        <w:t xml:space="preserve">Neatlygintinai gautas turtas iš savivaldybės biudžeto sudarė </w:t>
      </w:r>
      <w:r w:rsidR="002B738A">
        <w:rPr>
          <w:lang w:val="lt-LT"/>
        </w:rPr>
        <w:t>41,14</w:t>
      </w:r>
      <w:r w:rsidR="00ED645F">
        <w:rPr>
          <w:lang w:val="lt-LT"/>
        </w:rPr>
        <w:t xml:space="preserve"> Eur.</w:t>
      </w:r>
    </w:p>
    <w:p w:rsidR="00ED645F" w:rsidRDefault="00ED645F" w:rsidP="00D35782">
      <w:pPr>
        <w:tabs>
          <w:tab w:val="left" w:pos="540"/>
          <w:tab w:val="left" w:pos="1260"/>
        </w:tabs>
        <w:jc w:val="both"/>
        <w:rPr>
          <w:lang w:val="lt-LT"/>
        </w:rPr>
      </w:pPr>
      <w:r>
        <w:rPr>
          <w:lang w:val="lt-LT"/>
        </w:rPr>
        <w:tab/>
        <w:t>Iš Europos Sąjungos biudžeto gauti asignavimai gauti NVŠ išlaidoms</w:t>
      </w:r>
      <w:r w:rsidR="000E10E8">
        <w:rPr>
          <w:lang w:val="lt-LT"/>
        </w:rPr>
        <w:t xml:space="preserve"> apmokėti</w:t>
      </w:r>
      <w:r w:rsidR="009F5048">
        <w:rPr>
          <w:lang w:val="lt-LT"/>
        </w:rPr>
        <w:t xml:space="preserve"> už 2018 metais patirtas sąnaudas</w:t>
      </w:r>
      <w:r>
        <w:rPr>
          <w:lang w:val="lt-LT"/>
        </w:rPr>
        <w:t xml:space="preserve"> sudarė </w:t>
      </w:r>
      <w:r w:rsidR="000E10E8">
        <w:rPr>
          <w:lang w:val="lt-LT"/>
        </w:rPr>
        <w:t>1362,46</w:t>
      </w:r>
      <w:r>
        <w:rPr>
          <w:lang w:val="lt-LT"/>
        </w:rPr>
        <w:t xml:space="preserve"> Eur. Laikotarpio eigoje </w:t>
      </w:r>
      <w:r w:rsidR="000E10E8">
        <w:rPr>
          <w:lang w:val="lt-LT"/>
        </w:rPr>
        <w:t>762,67</w:t>
      </w:r>
      <w:r>
        <w:rPr>
          <w:lang w:val="lt-LT"/>
        </w:rPr>
        <w:t xml:space="preserve"> Eur pergrupuota </w:t>
      </w:r>
      <w:r w:rsidR="000E10E8">
        <w:rPr>
          <w:lang w:val="lt-LT"/>
        </w:rPr>
        <w:t>nepiniginiam turtui</w:t>
      </w:r>
      <w:r>
        <w:rPr>
          <w:lang w:val="lt-LT"/>
        </w:rPr>
        <w:t xml:space="preserve"> įsigyti.</w:t>
      </w:r>
    </w:p>
    <w:p w:rsidR="00D35782" w:rsidRPr="00D01B5A" w:rsidRDefault="00D35782" w:rsidP="00D35782">
      <w:pPr>
        <w:tabs>
          <w:tab w:val="left" w:pos="540"/>
          <w:tab w:val="left" w:pos="1260"/>
        </w:tabs>
        <w:jc w:val="both"/>
        <w:rPr>
          <w:lang w:val="lt-LT"/>
        </w:rPr>
      </w:pPr>
      <w:r>
        <w:rPr>
          <w:lang w:val="lt-LT"/>
        </w:rPr>
        <w:tab/>
        <w:t xml:space="preserve">Iš kitų šaltinių per laikotarpį </w:t>
      </w:r>
      <w:r w:rsidR="00ED645F">
        <w:rPr>
          <w:lang w:val="lt-LT"/>
        </w:rPr>
        <w:t xml:space="preserve">gauta lėšų kitoms išlaidoms kompensuoti už </w:t>
      </w:r>
      <w:r w:rsidR="009F5048">
        <w:rPr>
          <w:lang w:val="lt-LT"/>
        </w:rPr>
        <w:t>2640</w:t>
      </w:r>
      <w:r w:rsidR="00ED645F">
        <w:rPr>
          <w:lang w:val="lt-LT"/>
        </w:rPr>
        <w:t xml:space="preserve"> Eur</w:t>
      </w:r>
      <w:r w:rsidR="00117A1F">
        <w:rPr>
          <w:lang w:val="lt-LT"/>
        </w:rPr>
        <w:t xml:space="preserve">, </w:t>
      </w:r>
      <w:r w:rsidR="009F5048">
        <w:rPr>
          <w:lang w:val="lt-LT"/>
        </w:rPr>
        <w:t>iš jų nepiniginiam turtui įsigyti pergrupuota 1200 Eur.</w:t>
      </w:r>
      <w:r w:rsidR="00ED645F">
        <w:rPr>
          <w:lang w:val="lt-LT"/>
        </w:rPr>
        <w:t xml:space="preserve"> N</w:t>
      </w:r>
      <w:r>
        <w:rPr>
          <w:lang w:val="lt-LT"/>
        </w:rPr>
        <w:t xml:space="preserve">eatlygintinai gauta turto už </w:t>
      </w:r>
      <w:r w:rsidR="006D2ECD">
        <w:rPr>
          <w:lang w:val="lt-LT"/>
        </w:rPr>
        <w:t>314,24</w:t>
      </w:r>
      <w:r>
        <w:rPr>
          <w:lang w:val="lt-LT"/>
        </w:rPr>
        <w:t xml:space="preserve"> Eur. </w:t>
      </w:r>
    </w:p>
    <w:p w:rsidR="00CC2014" w:rsidRDefault="00D35782" w:rsidP="00EA7AD0">
      <w:pPr>
        <w:numPr>
          <w:ilvl w:val="0"/>
          <w:numId w:val="1"/>
        </w:numPr>
        <w:tabs>
          <w:tab w:val="left" w:pos="540"/>
          <w:tab w:val="left" w:pos="1260"/>
        </w:tabs>
        <w:ind w:firstLine="900"/>
        <w:jc w:val="both"/>
        <w:rPr>
          <w:lang w:val="lt-LT"/>
        </w:rPr>
      </w:pPr>
      <w:r w:rsidRPr="00CB4F1C">
        <w:rPr>
          <w:lang w:val="lt-LT"/>
        </w:rPr>
        <w:t xml:space="preserve">Straipsnyje „Įsipareigojimai”, pateikiama informacija apie trumpalaikius </w:t>
      </w:r>
      <w:r w:rsidRPr="00C14EA6">
        <w:rPr>
          <w:lang w:val="lt-LT"/>
        </w:rPr>
        <w:t>įsipareigojimus</w:t>
      </w:r>
      <w:r w:rsidR="00EA7AD0">
        <w:rPr>
          <w:lang w:val="lt-LT"/>
        </w:rPr>
        <w:t xml:space="preserve"> ataskaitinio laikotarpio pabaigai</w:t>
      </w:r>
      <w:r w:rsidR="00CC2014">
        <w:rPr>
          <w:lang w:val="lt-LT"/>
        </w:rPr>
        <w:t>:</w:t>
      </w:r>
    </w:p>
    <w:tbl>
      <w:tblPr>
        <w:tblStyle w:val="Lentelstinklelis"/>
        <w:tblW w:w="0" w:type="auto"/>
        <w:tblInd w:w="392" w:type="dxa"/>
        <w:tblLook w:val="04A0" w:firstRow="1" w:lastRow="0" w:firstColumn="1" w:lastColumn="0" w:noHBand="0" w:noVBand="1"/>
      </w:tblPr>
      <w:tblGrid>
        <w:gridCol w:w="992"/>
        <w:gridCol w:w="6379"/>
        <w:gridCol w:w="1559"/>
      </w:tblGrid>
      <w:tr w:rsidR="00CC2014" w:rsidTr="00DA5ADA">
        <w:tc>
          <w:tcPr>
            <w:tcW w:w="992" w:type="dxa"/>
          </w:tcPr>
          <w:p w:rsidR="00CC2014" w:rsidRDefault="00CC2014" w:rsidP="00CC2014">
            <w:pPr>
              <w:tabs>
                <w:tab w:val="left" w:pos="540"/>
                <w:tab w:val="left" w:pos="1260"/>
              </w:tabs>
              <w:jc w:val="center"/>
              <w:rPr>
                <w:lang w:val="lt-LT"/>
              </w:rPr>
            </w:pPr>
            <w:r>
              <w:rPr>
                <w:lang w:val="lt-LT"/>
              </w:rPr>
              <w:t>Eil. Nr.</w:t>
            </w:r>
          </w:p>
        </w:tc>
        <w:tc>
          <w:tcPr>
            <w:tcW w:w="6379" w:type="dxa"/>
          </w:tcPr>
          <w:p w:rsidR="00CC2014" w:rsidRDefault="00CC2014" w:rsidP="00CC2014">
            <w:pPr>
              <w:tabs>
                <w:tab w:val="left" w:pos="540"/>
                <w:tab w:val="left" w:pos="1260"/>
              </w:tabs>
              <w:jc w:val="center"/>
              <w:rPr>
                <w:lang w:val="lt-LT"/>
              </w:rPr>
            </w:pPr>
            <w:r>
              <w:rPr>
                <w:lang w:val="lt-LT"/>
              </w:rPr>
              <w:t>Trumpalaikiai įsipareigojimai</w:t>
            </w:r>
          </w:p>
        </w:tc>
        <w:tc>
          <w:tcPr>
            <w:tcW w:w="1559" w:type="dxa"/>
          </w:tcPr>
          <w:p w:rsidR="00CC2014" w:rsidRDefault="00CC2014" w:rsidP="00CC2014">
            <w:pPr>
              <w:tabs>
                <w:tab w:val="left" w:pos="540"/>
                <w:tab w:val="left" w:pos="1260"/>
              </w:tabs>
              <w:jc w:val="center"/>
              <w:rPr>
                <w:lang w:val="lt-LT"/>
              </w:rPr>
            </w:pPr>
            <w:r>
              <w:rPr>
                <w:lang w:val="lt-LT"/>
              </w:rPr>
              <w:t>Suma (Eur)</w:t>
            </w:r>
          </w:p>
        </w:tc>
      </w:tr>
      <w:tr w:rsidR="00CC2014" w:rsidTr="00DA5ADA">
        <w:tc>
          <w:tcPr>
            <w:tcW w:w="992" w:type="dxa"/>
          </w:tcPr>
          <w:p w:rsidR="00CC2014" w:rsidRDefault="00CC2014" w:rsidP="00CC2014">
            <w:pPr>
              <w:tabs>
                <w:tab w:val="left" w:pos="540"/>
                <w:tab w:val="left" w:pos="1260"/>
              </w:tabs>
              <w:jc w:val="center"/>
              <w:rPr>
                <w:lang w:val="lt-LT"/>
              </w:rPr>
            </w:pPr>
            <w:r>
              <w:rPr>
                <w:lang w:val="lt-LT"/>
              </w:rPr>
              <w:t>1</w:t>
            </w:r>
          </w:p>
        </w:tc>
        <w:tc>
          <w:tcPr>
            <w:tcW w:w="6379" w:type="dxa"/>
          </w:tcPr>
          <w:p w:rsidR="00CC2014" w:rsidRDefault="00D3221F" w:rsidP="00CC2014">
            <w:pPr>
              <w:tabs>
                <w:tab w:val="left" w:pos="540"/>
                <w:tab w:val="left" w:pos="1260"/>
              </w:tabs>
              <w:jc w:val="both"/>
              <w:rPr>
                <w:lang w:val="lt-LT"/>
              </w:rPr>
            </w:pPr>
            <w:r>
              <w:rPr>
                <w:lang w:val="lt-LT"/>
              </w:rPr>
              <w:t>Tiekėjams mokėtinos sumos (SF)</w:t>
            </w:r>
          </w:p>
        </w:tc>
        <w:tc>
          <w:tcPr>
            <w:tcW w:w="1559" w:type="dxa"/>
          </w:tcPr>
          <w:p w:rsidR="00CC2014" w:rsidRDefault="00F6550D" w:rsidP="00D3221F">
            <w:pPr>
              <w:tabs>
                <w:tab w:val="left" w:pos="540"/>
                <w:tab w:val="left" w:pos="1260"/>
              </w:tabs>
              <w:jc w:val="center"/>
              <w:rPr>
                <w:lang w:val="lt-LT"/>
              </w:rPr>
            </w:pPr>
            <w:r>
              <w:rPr>
                <w:lang w:val="lt-LT"/>
              </w:rPr>
              <w:t>1226,12</w:t>
            </w:r>
          </w:p>
        </w:tc>
      </w:tr>
      <w:tr w:rsidR="00CC2014" w:rsidTr="00DA5ADA">
        <w:tc>
          <w:tcPr>
            <w:tcW w:w="992" w:type="dxa"/>
          </w:tcPr>
          <w:p w:rsidR="00CC2014" w:rsidRDefault="00CC2014" w:rsidP="00CC2014">
            <w:pPr>
              <w:tabs>
                <w:tab w:val="left" w:pos="540"/>
                <w:tab w:val="left" w:pos="1260"/>
              </w:tabs>
              <w:jc w:val="center"/>
              <w:rPr>
                <w:lang w:val="lt-LT"/>
              </w:rPr>
            </w:pPr>
            <w:r>
              <w:rPr>
                <w:lang w:val="lt-LT"/>
              </w:rPr>
              <w:t>2</w:t>
            </w:r>
          </w:p>
        </w:tc>
        <w:tc>
          <w:tcPr>
            <w:tcW w:w="6379" w:type="dxa"/>
          </w:tcPr>
          <w:p w:rsidR="00CC2014" w:rsidRDefault="00D3221F" w:rsidP="00CC2014">
            <w:pPr>
              <w:tabs>
                <w:tab w:val="left" w:pos="540"/>
                <w:tab w:val="left" w:pos="1260"/>
              </w:tabs>
              <w:jc w:val="both"/>
              <w:rPr>
                <w:lang w:val="lt-LT"/>
              </w:rPr>
            </w:pPr>
            <w:r>
              <w:rPr>
                <w:lang w:val="lt-LT"/>
              </w:rPr>
              <w:t>Tiekėjams mokėtinos sumos (BĮ pajamos)</w:t>
            </w:r>
          </w:p>
        </w:tc>
        <w:tc>
          <w:tcPr>
            <w:tcW w:w="1559" w:type="dxa"/>
          </w:tcPr>
          <w:p w:rsidR="00CC2014" w:rsidRDefault="00F6550D" w:rsidP="00D3221F">
            <w:pPr>
              <w:tabs>
                <w:tab w:val="left" w:pos="540"/>
                <w:tab w:val="left" w:pos="1260"/>
              </w:tabs>
              <w:jc w:val="center"/>
              <w:rPr>
                <w:lang w:val="lt-LT"/>
              </w:rPr>
            </w:pPr>
            <w:r>
              <w:rPr>
                <w:lang w:val="lt-LT"/>
              </w:rPr>
              <w:t>178,96</w:t>
            </w:r>
          </w:p>
        </w:tc>
      </w:tr>
      <w:tr w:rsidR="002A75CD" w:rsidTr="00DA5ADA">
        <w:tc>
          <w:tcPr>
            <w:tcW w:w="992" w:type="dxa"/>
          </w:tcPr>
          <w:p w:rsidR="002A75CD" w:rsidRDefault="002A75CD" w:rsidP="00CC2014">
            <w:pPr>
              <w:tabs>
                <w:tab w:val="left" w:pos="540"/>
                <w:tab w:val="left" w:pos="1260"/>
              </w:tabs>
              <w:jc w:val="center"/>
              <w:rPr>
                <w:lang w:val="lt-LT"/>
              </w:rPr>
            </w:pPr>
            <w:r>
              <w:rPr>
                <w:lang w:val="lt-LT"/>
              </w:rPr>
              <w:lastRenderedPageBreak/>
              <w:t>3</w:t>
            </w:r>
          </w:p>
        </w:tc>
        <w:tc>
          <w:tcPr>
            <w:tcW w:w="6379" w:type="dxa"/>
          </w:tcPr>
          <w:p w:rsidR="002A75CD" w:rsidRDefault="002A75CD" w:rsidP="009F5048">
            <w:pPr>
              <w:tabs>
                <w:tab w:val="left" w:pos="540"/>
                <w:tab w:val="left" w:pos="1260"/>
              </w:tabs>
              <w:jc w:val="both"/>
              <w:rPr>
                <w:lang w:val="lt-LT"/>
              </w:rPr>
            </w:pPr>
            <w:r>
              <w:rPr>
                <w:lang w:val="lt-LT"/>
              </w:rPr>
              <w:t>Tiekėjams mokėtinos sumos (</w:t>
            </w:r>
            <w:r w:rsidR="009F5048">
              <w:rPr>
                <w:lang w:val="lt-LT"/>
              </w:rPr>
              <w:t>Kiti šaltiniai</w:t>
            </w:r>
            <w:r>
              <w:rPr>
                <w:lang w:val="lt-LT"/>
              </w:rPr>
              <w:t>)</w:t>
            </w:r>
          </w:p>
        </w:tc>
        <w:tc>
          <w:tcPr>
            <w:tcW w:w="1559" w:type="dxa"/>
          </w:tcPr>
          <w:p w:rsidR="002A75CD" w:rsidRDefault="00F6550D" w:rsidP="00D3221F">
            <w:pPr>
              <w:tabs>
                <w:tab w:val="left" w:pos="540"/>
                <w:tab w:val="left" w:pos="1260"/>
              </w:tabs>
              <w:jc w:val="center"/>
              <w:rPr>
                <w:lang w:val="lt-LT"/>
              </w:rPr>
            </w:pPr>
            <w:r>
              <w:rPr>
                <w:lang w:val="lt-LT"/>
              </w:rPr>
              <w:t>0,00</w:t>
            </w:r>
          </w:p>
        </w:tc>
      </w:tr>
      <w:tr w:rsidR="00D3221F" w:rsidTr="00233A71">
        <w:tc>
          <w:tcPr>
            <w:tcW w:w="7371" w:type="dxa"/>
            <w:gridSpan w:val="2"/>
          </w:tcPr>
          <w:p w:rsidR="00D3221F" w:rsidRPr="00D3221F" w:rsidRDefault="00D3221F" w:rsidP="00D3221F">
            <w:pPr>
              <w:tabs>
                <w:tab w:val="left" w:pos="540"/>
                <w:tab w:val="left" w:pos="1260"/>
              </w:tabs>
              <w:jc w:val="center"/>
              <w:rPr>
                <w:b/>
                <w:lang w:val="lt-LT"/>
              </w:rPr>
            </w:pPr>
            <w:r w:rsidRPr="00D3221F">
              <w:rPr>
                <w:b/>
                <w:lang w:val="lt-LT"/>
              </w:rPr>
              <w:t>Iš viso tiekėjams mokėtinų sumų</w:t>
            </w:r>
          </w:p>
        </w:tc>
        <w:tc>
          <w:tcPr>
            <w:tcW w:w="1559" w:type="dxa"/>
          </w:tcPr>
          <w:p w:rsidR="00D3221F" w:rsidRPr="00D3221F" w:rsidRDefault="00F6550D" w:rsidP="00D3221F">
            <w:pPr>
              <w:tabs>
                <w:tab w:val="left" w:pos="540"/>
                <w:tab w:val="left" w:pos="1260"/>
              </w:tabs>
              <w:jc w:val="center"/>
              <w:rPr>
                <w:b/>
                <w:lang w:val="lt-LT"/>
              </w:rPr>
            </w:pPr>
            <w:r>
              <w:rPr>
                <w:b/>
                <w:lang w:val="lt-LT"/>
              </w:rPr>
              <w:t>1405,08</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3</w:t>
            </w:r>
          </w:p>
        </w:tc>
        <w:tc>
          <w:tcPr>
            <w:tcW w:w="6379" w:type="dxa"/>
          </w:tcPr>
          <w:p w:rsidR="00CC2014" w:rsidRDefault="00CC2014" w:rsidP="00CC2014">
            <w:pPr>
              <w:tabs>
                <w:tab w:val="left" w:pos="540"/>
                <w:tab w:val="left" w:pos="1260"/>
              </w:tabs>
              <w:jc w:val="both"/>
              <w:rPr>
                <w:lang w:val="lt-LT"/>
              </w:rPr>
            </w:pPr>
            <w:r>
              <w:rPr>
                <w:lang w:val="lt-LT"/>
              </w:rPr>
              <w:t>Mokėtinas darbo užmokestis</w:t>
            </w:r>
          </w:p>
        </w:tc>
        <w:tc>
          <w:tcPr>
            <w:tcW w:w="1559" w:type="dxa"/>
          </w:tcPr>
          <w:p w:rsidR="00CC2014" w:rsidRDefault="00F6550D" w:rsidP="00D3221F">
            <w:pPr>
              <w:tabs>
                <w:tab w:val="left" w:pos="540"/>
                <w:tab w:val="left" w:pos="1260"/>
              </w:tabs>
              <w:jc w:val="center"/>
              <w:rPr>
                <w:lang w:val="lt-LT"/>
              </w:rPr>
            </w:pPr>
            <w:r>
              <w:rPr>
                <w:lang w:val="lt-LT"/>
              </w:rPr>
              <w:t>34069,99</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4</w:t>
            </w:r>
          </w:p>
        </w:tc>
        <w:tc>
          <w:tcPr>
            <w:tcW w:w="6379" w:type="dxa"/>
          </w:tcPr>
          <w:p w:rsidR="00CC2014" w:rsidRDefault="00CC2014" w:rsidP="00D83CD2">
            <w:pPr>
              <w:tabs>
                <w:tab w:val="left" w:pos="540"/>
                <w:tab w:val="left" w:pos="1260"/>
              </w:tabs>
              <w:jc w:val="both"/>
              <w:rPr>
                <w:lang w:val="lt-LT"/>
              </w:rPr>
            </w:pPr>
            <w:r>
              <w:rPr>
                <w:lang w:val="lt-LT"/>
              </w:rPr>
              <w:t>Mokėtinos socialinio draudimo įmokos (</w:t>
            </w:r>
            <w:r w:rsidR="00D83CD2">
              <w:rPr>
                <w:lang w:val="lt-LT"/>
              </w:rPr>
              <w:t>19,5</w:t>
            </w:r>
            <w:r>
              <w:rPr>
                <w:lang w:val="lt-LT"/>
              </w:rPr>
              <w:t xml:space="preserve"> proc.)</w:t>
            </w:r>
          </w:p>
        </w:tc>
        <w:tc>
          <w:tcPr>
            <w:tcW w:w="1559" w:type="dxa"/>
          </w:tcPr>
          <w:p w:rsidR="00CC2014" w:rsidRDefault="00F6550D" w:rsidP="00D3221F">
            <w:pPr>
              <w:tabs>
                <w:tab w:val="left" w:pos="540"/>
                <w:tab w:val="left" w:pos="1260"/>
              </w:tabs>
              <w:jc w:val="center"/>
              <w:rPr>
                <w:lang w:val="lt-LT"/>
              </w:rPr>
            </w:pPr>
            <w:r>
              <w:rPr>
                <w:lang w:val="lt-LT"/>
              </w:rPr>
              <w:t>11693,40</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5</w:t>
            </w:r>
          </w:p>
        </w:tc>
        <w:tc>
          <w:tcPr>
            <w:tcW w:w="6379" w:type="dxa"/>
          </w:tcPr>
          <w:p w:rsidR="00CC2014" w:rsidRDefault="00CC2014" w:rsidP="00CC2014">
            <w:pPr>
              <w:tabs>
                <w:tab w:val="left" w:pos="540"/>
                <w:tab w:val="left" w:pos="1260"/>
              </w:tabs>
              <w:jc w:val="both"/>
              <w:rPr>
                <w:lang w:val="lt-LT"/>
              </w:rPr>
            </w:pPr>
            <w:r>
              <w:rPr>
                <w:lang w:val="lt-LT"/>
              </w:rPr>
              <w:t>Mokėtinas gyventojų pajamų mokestis</w:t>
            </w:r>
          </w:p>
        </w:tc>
        <w:tc>
          <w:tcPr>
            <w:tcW w:w="1559" w:type="dxa"/>
          </w:tcPr>
          <w:p w:rsidR="00CC2014" w:rsidRDefault="00F6550D" w:rsidP="00D3221F">
            <w:pPr>
              <w:tabs>
                <w:tab w:val="left" w:pos="540"/>
                <w:tab w:val="left" w:pos="1260"/>
              </w:tabs>
              <w:jc w:val="center"/>
              <w:rPr>
                <w:lang w:val="lt-LT"/>
              </w:rPr>
            </w:pPr>
            <w:r>
              <w:rPr>
                <w:lang w:val="lt-LT"/>
              </w:rPr>
              <w:t>9748,51</w:t>
            </w:r>
          </w:p>
        </w:tc>
      </w:tr>
      <w:tr w:rsidR="00D3221F" w:rsidTr="00DA5ADA">
        <w:tc>
          <w:tcPr>
            <w:tcW w:w="992" w:type="dxa"/>
          </w:tcPr>
          <w:p w:rsidR="00D3221F" w:rsidRDefault="00D3221F" w:rsidP="00CC2014">
            <w:pPr>
              <w:tabs>
                <w:tab w:val="left" w:pos="540"/>
                <w:tab w:val="left" w:pos="1260"/>
              </w:tabs>
              <w:jc w:val="center"/>
              <w:rPr>
                <w:lang w:val="lt-LT"/>
              </w:rPr>
            </w:pPr>
            <w:r>
              <w:rPr>
                <w:lang w:val="lt-LT"/>
              </w:rPr>
              <w:t>6</w:t>
            </w:r>
          </w:p>
        </w:tc>
        <w:tc>
          <w:tcPr>
            <w:tcW w:w="6379" w:type="dxa"/>
          </w:tcPr>
          <w:p w:rsidR="00D3221F" w:rsidRDefault="00D3221F" w:rsidP="00CC2014">
            <w:pPr>
              <w:tabs>
                <w:tab w:val="left" w:pos="540"/>
                <w:tab w:val="left" w:pos="1260"/>
              </w:tabs>
              <w:jc w:val="both"/>
              <w:rPr>
                <w:lang w:val="lt-LT"/>
              </w:rPr>
            </w:pPr>
            <w:r>
              <w:rPr>
                <w:lang w:val="lt-LT"/>
              </w:rPr>
              <w:t>Mokėtinos sumos pagal vykdomuosius raštus</w:t>
            </w:r>
          </w:p>
        </w:tc>
        <w:tc>
          <w:tcPr>
            <w:tcW w:w="1559" w:type="dxa"/>
          </w:tcPr>
          <w:p w:rsidR="00D3221F" w:rsidRDefault="008554E8" w:rsidP="00D3221F">
            <w:pPr>
              <w:tabs>
                <w:tab w:val="left" w:pos="540"/>
                <w:tab w:val="left" w:pos="1260"/>
              </w:tabs>
              <w:jc w:val="center"/>
              <w:rPr>
                <w:lang w:val="lt-LT"/>
              </w:rPr>
            </w:pPr>
            <w:r>
              <w:rPr>
                <w:lang w:val="lt-LT"/>
              </w:rPr>
              <w:t>0,00</w:t>
            </w:r>
          </w:p>
        </w:tc>
      </w:tr>
      <w:tr w:rsidR="00CC2014" w:rsidTr="00DA5ADA">
        <w:tc>
          <w:tcPr>
            <w:tcW w:w="992" w:type="dxa"/>
          </w:tcPr>
          <w:p w:rsidR="00CC2014" w:rsidRDefault="00D3221F" w:rsidP="00D3221F">
            <w:pPr>
              <w:tabs>
                <w:tab w:val="left" w:pos="540"/>
                <w:tab w:val="left" w:pos="1260"/>
              </w:tabs>
              <w:jc w:val="center"/>
              <w:rPr>
                <w:lang w:val="lt-LT"/>
              </w:rPr>
            </w:pPr>
            <w:r>
              <w:rPr>
                <w:lang w:val="lt-LT"/>
              </w:rPr>
              <w:t>7</w:t>
            </w:r>
          </w:p>
        </w:tc>
        <w:tc>
          <w:tcPr>
            <w:tcW w:w="6379" w:type="dxa"/>
          </w:tcPr>
          <w:p w:rsidR="00CC2014" w:rsidRDefault="00CC2014" w:rsidP="00D83CD2">
            <w:pPr>
              <w:tabs>
                <w:tab w:val="left" w:pos="540"/>
                <w:tab w:val="left" w:pos="1260"/>
              </w:tabs>
              <w:jc w:val="both"/>
              <w:rPr>
                <w:lang w:val="lt-LT"/>
              </w:rPr>
            </w:pPr>
            <w:r>
              <w:rPr>
                <w:lang w:val="lt-LT"/>
              </w:rPr>
              <w:t>Mokėtinos darbdavio socialinio draudimo įmokos (</w:t>
            </w:r>
            <w:r w:rsidR="00D83CD2">
              <w:rPr>
                <w:lang w:val="lt-LT"/>
              </w:rPr>
              <w:t>1,45</w:t>
            </w:r>
            <w:r>
              <w:rPr>
                <w:lang w:val="lt-LT"/>
              </w:rPr>
              <w:t xml:space="preserve"> proc.)</w:t>
            </w:r>
          </w:p>
        </w:tc>
        <w:tc>
          <w:tcPr>
            <w:tcW w:w="1559" w:type="dxa"/>
          </w:tcPr>
          <w:p w:rsidR="00CC2014" w:rsidRDefault="00F6550D" w:rsidP="00D3221F">
            <w:pPr>
              <w:tabs>
                <w:tab w:val="left" w:pos="540"/>
                <w:tab w:val="left" w:pos="1260"/>
              </w:tabs>
              <w:jc w:val="center"/>
              <w:rPr>
                <w:lang w:val="lt-LT"/>
              </w:rPr>
            </w:pPr>
            <w:r>
              <w:rPr>
                <w:lang w:val="lt-LT"/>
              </w:rPr>
              <w:t>810,11</w:t>
            </w:r>
          </w:p>
        </w:tc>
      </w:tr>
      <w:tr w:rsidR="00CC2014" w:rsidTr="00CC2014">
        <w:tc>
          <w:tcPr>
            <w:tcW w:w="7371" w:type="dxa"/>
            <w:gridSpan w:val="2"/>
          </w:tcPr>
          <w:p w:rsidR="00CC2014" w:rsidRPr="00CC2014" w:rsidRDefault="00CC2014" w:rsidP="00CC2014">
            <w:pPr>
              <w:tabs>
                <w:tab w:val="left" w:pos="540"/>
                <w:tab w:val="left" w:pos="1260"/>
              </w:tabs>
              <w:jc w:val="center"/>
              <w:rPr>
                <w:b/>
                <w:lang w:val="lt-LT"/>
              </w:rPr>
            </w:pPr>
            <w:r w:rsidRPr="00CC2014">
              <w:rPr>
                <w:b/>
                <w:lang w:val="lt-LT"/>
              </w:rPr>
              <w:t>Iš viso su darbo santykiais susiję įsipareigojimai</w:t>
            </w:r>
          </w:p>
        </w:tc>
        <w:tc>
          <w:tcPr>
            <w:tcW w:w="1559" w:type="dxa"/>
          </w:tcPr>
          <w:p w:rsidR="00CC2014" w:rsidRPr="00CC2014" w:rsidRDefault="00F6550D" w:rsidP="00D3221F">
            <w:pPr>
              <w:tabs>
                <w:tab w:val="left" w:pos="540"/>
                <w:tab w:val="left" w:pos="1260"/>
              </w:tabs>
              <w:jc w:val="center"/>
              <w:rPr>
                <w:b/>
                <w:lang w:val="lt-LT"/>
              </w:rPr>
            </w:pPr>
            <w:r>
              <w:rPr>
                <w:b/>
                <w:lang w:val="lt-LT"/>
              </w:rPr>
              <w:t>56322,01</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8</w:t>
            </w:r>
          </w:p>
        </w:tc>
        <w:tc>
          <w:tcPr>
            <w:tcW w:w="6379" w:type="dxa"/>
          </w:tcPr>
          <w:p w:rsidR="00CC2014" w:rsidRDefault="00D3221F" w:rsidP="00CC2014">
            <w:pPr>
              <w:tabs>
                <w:tab w:val="left" w:pos="540"/>
                <w:tab w:val="left" w:pos="1260"/>
              </w:tabs>
              <w:jc w:val="both"/>
              <w:rPr>
                <w:lang w:val="lt-LT"/>
              </w:rPr>
            </w:pPr>
            <w:r>
              <w:rPr>
                <w:lang w:val="lt-LT"/>
              </w:rPr>
              <w:t>Sukauptos atostoginių sąnaudos</w:t>
            </w:r>
          </w:p>
        </w:tc>
        <w:tc>
          <w:tcPr>
            <w:tcW w:w="1559" w:type="dxa"/>
          </w:tcPr>
          <w:p w:rsidR="00CC2014" w:rsidRDefault="00D83CD2" w:rsidP="00D3221F">
            <w:pPr>
              <w:tabs>
                <w:tab w:val="left" w:pos="540"/>
                <w:tab w:val="left" w:pos="1260"/>
              </w:tabs>
              <w:jc w:val="center"/>
              <w:rPr>
                <w:lang w:val="lt-LT"/>
              </w:rPr>
            </w:pPr>
            <w:r>
              <w:rPr>
                <w:lang w:val="lt-LT"/>
              </w:rPr>
              <w:t>36358,84</w:t>
            </w:r>
          </w:p>
        </w:tc>
      </w:tr>
      <w:tr w:rsidR="00CC2014" w:rsidTr="00DA5ADA">
        <w:tc>
          <w:tcPr>
            <w:tcW w:w="992" w:type="dxa"/>
          </w:tcPr>
          <w:p w:rsidR="00CC2014" w:rsidRDefault="00D3221F" w:rsidP="00CC2014">
            <w:pPr>
              <w:tabs>
                <w:tab w:val="left" w:pos="540"/>
                <w:tab w:val="left" w:pos="1260"/>
              </w:tabs>
              <w:jc w:val="center"/>
              <w:rPr>
                <w:lang w:val="lt-LT"/>
              </w:rPr>
            </w:pPr>
            <w:r>
              <w:rPr>
                <w:lang w:val="lt-LT"/>
              </w:rPr>
              <w:t>9</w:t>
            </w:r>
          </w:p>
        </w:tc>
        <w:tc>
          <w:tcPr>
            <w:tcW w:w="6379" w:type="dxa"/>
          </w:tcPr>
          <w:p w:rsidR="00CC2014" w:rsidRDefault="00D3221F" w:rsidP="00CC2014">
            <w:pPr>
              <w:tabs>
                <w:tab w:val="left" w:pos="540"/>
                <w:tab w:val="left" w:pos="1260"/>
              </w:tabs>
              <w:jc w:val="both"/>
              <w:rPr>
                <w:lang w:val="lt-LT"/>
              </w:rPr>
            </w:pPr>
            <w:r>
              <w:rPr>
                <w:lang w:val="lt-LT"/>
              </w:rPr>
              <w:t xml:space="preserve">Sukauptos valstybinio socialinio draudimo įmokų sąnaudos </w:t>
            </w:r>
          </w:p>
        </w:tc>
        <w:tc>
          <w:tcPr>
            <w:tcW w:w="1559" w:type="dxa"/>
          </w:tcPr>
          <w:p w:rsidR="00CC2014" w:rsidRDefault="00D83CD2" w:rsidP="00D3221F">
            <w:pPr>
              <w:tabs>
                <w:tab w:val="left" w:pos="540"/>
                <w:tab w:val="left" w:pos="1260"/>
              </w:tabs>
              <w:jc w:val="center"/>
              <w:rPr>
                <w:lang w:val="lt-LT"/>
              </w:rPr>
            </w:pPr>
            <w:r>
              <w:rPr>
                <w:lang w:val="lt-LT"/>
              </w:rPr>
              <w:t>527,20</w:t>
            </w:r>
          </w:p>
        </w:tc>
      </w:tr>
      <w:tr w:rsidR="00D3221F" w:rsidTr="00E57195">
        <w:tc>
          <w:tcPr>
            <w:tcW w:w="7371" w:type="dxa"/>
            <w:gridSpan w:val="2"/>
          </w:tcPr>
          <w:p w:rsidR="00D3221F" w:rsidRPr="00EA7AD0" w:rsidRDefault="00D3221F" w:rsidP="00D3221F">
            <w:pPr>
              <w:tabs>
                <w:tab w:val="left" w:pos="540"/>
                <w:tab w:val="left" w:pos="1260"/>
              </w:tabs>
              <w:jc w:val="center"/>
              <w:rPr>
                <w:b/>
                <w:lang w:val="lt-LT"/>
              </w:rPr>
            </w:pPr>
            <w:r w:rsidRPr="00EA7AD0">
              <w:rPr>
                <w:b/>
                <w:lang w:val="lt-LT"/>
              </w:rPr>
              <w:t>Iš viso sukauptų mokėtinų sumų</w:t>
            </w:r>
          </w:p>
        </w:tc>
        <w:tc>
          <w:tcPr>
            <w:tcW w:w="1559" w:type="dxa"/>
          </w:tcPr>
          <w:p w:rsidR="00D3221F" w:rsidRPr="00EA7AD0" w:rsidRDefault="00D83CD2" w:rsidP="00D3221F">
            <w:pPr>
              <w:tabs>
                <w:tab w:val="left" w:pos="540"/>
                <w:tab w:val="left" w:pos="1260"/>
              </w:tabs>
              <w:jc w:val="center"/>
              <w:rPr>
                <w:b/>
                <w:lang w:val="lt-LT"/>
              </w:rPr>
            </w:pPr>
            <w:r>
              <w:rPr>
                <w:b/>
                <w:lang w:val="lt-LT"/>
              </w:rPr>
              <w:t>36886,04</w:t>
            </w:r>
          </w:p>
        </w:tc>
      </w:tr>
      <w:tr w:rsidR="0025127F" w:rsidTr="00E57195">
        <w:tc>
          <w:tcPr>
            <w:tcW w:w="7371" w:type="dxa"/>
            <w:gridSpan w:val="2"/>
          </w:tcPr>
          <w:p w:rsidR="0025127F" w:rsidRPr="00EA7AD0" w:rsidRDefault="0025127F" w:rsidP="00D3221F">
            <w:pPr>
              <w:tabs>
                <w:tab w:val="left" w:pos="540"/>
                <w:tab w:val="left" w:pos="1260"/>
              </w:tabs>
              <w:jc w:val="center"/>
              <w:rPr>
                <w:b/>
                <w:lang w:val="lt-LT"/>
              </w:rPr>
            </w:pPr>
          </w:p>
        </w:tc>
        <w:tc>
          <w:tcPr>
            <w:tcW w:w="1559" w:type="dxa"/>
          </w:tcPr>
          <w:p w:rsidR="0025127F" w:rsidRPr="00EA7AD0" w:rsidRDefault="0025127F" w:rsidP="00D3221F">
            <w:pPr>
              <w:tabs>
                <w:tab w:val="left" w:pos="540"/>
                <w:tab w:val="left" w:pos="1260"/>
              </w:tabs>
              <w:jc w:val="center"/>
              <w:rPr>
                <w:b/>
                <w:lang w:val="lt-LT"/>
              </w:rPr>
            </w:pPr>
          </w:p>
        </w:tc>
      </w:tr>
      <w:tr w:rsidR="0025127F" w:rsidTr="00F00414">
        <w:tc>
          <w:tcPr>
            <w:tcW w:w="992" w:type="dxa"/>
          </w:tcPr>
          <w:p w:rsidR="0025127F" w:rsidRDefault="0025127F" w:rsidP="00F00414">
            <w:pPr>
              <w:tabs>
                <w:tab w:val="left" w:pos="540"/>
                <w:tab w:val="left" w:pos="1260"/>
              </w:tabs>
              <w:jc w:val="center"/>
              <w:rPr>
                <w:lang w:val="lt-LT"/>
              </w:rPr>
            </w:pPr>
            <w:r>
              <w:rPr>
                <w:lang w:val="lt-LT"/>
              </w:rPr>
              <w:t>10</w:t>
            </w:r>
          </w:p>
        </w:tc>
        <w:tc>
          <w:tcPr>
            <w:tcW w:w="6379" w:type="dxa"/>
          </w:tcPr>
          <w:p w:rsidR="0025127F" w:rsidRDefault="0025127F" w:rsidP="00F00414">
            <w:pPr>
              <w:tabs>
                <w:tab w:val="left" w:pos="540"/>
                <w:tab w:val="left" w:pos="1260"/>
              </w:tabs>
              <w:jc w:val="both"/>
              <w:rPr>
                <w:lang w:val="lt-LT"/>
              </w:rPr>
            </w:pPr>
            <w:r>
              <w:rPr>
                <w:lang w:val="lt-LT"/>
              </w:rPr>
              <w:t xml:space="preserve">Kitos pervestinos sumos </w:t>
            </w:r>
          </w:p>
        </w:tc>
        <w:tc>
          <w:tcPr>
            <w:tcW w:w="1559" w:type="dxa"/>
          </w:tcPr>
          <w:p w:rsidR="0025127F" w:rsidRDefault="00F6550D" w:rsidP="00F00414">
            <w:pPr>
              <w:tabs>
                <w:tab w:val="left" w:pos="540"/>
                <w:tab w:val="left" w:pos="1260"/>
              </w:tabs>
              <w:jc w:val="center"/>
              <w:rPr>
                <w:lang w:val="lt-LT"/>
              </w:rPr>
            </w:pPr>
            <w:r>
              <w:rPr>
                <w:lang w:val="lt-LT"/>
              </w:rPr>
              <w:t>24,00</w:t>
            </w:r>
          </w:p>
        </w:tc>
      </w:tr>
      <w:tr w:rsidR="0025127F" w:rsidTr="00E57195">
        <w:tc>
          <w:tcPr>
            <w:tcW w:w="7371" w:type="dxa"/>
            <w:gridSpan w:val="2"/>
          </w:tcPr>
          <w:p w:rsidR="0025127F" w:rsidRPr="00EA7AD0" w:rsidRDefault="0025127F" w:rsidP="00D3221F">
            <w:pPr>
              <w:tabs>
                <w:tab w:val="left" w:pos="540"/>
                <w:tab w:val="left" w:pos="1260"/>
              </w:tabs>
              <w:jc w:val="center"/>
              <w:rPr>
                <w:b/>
                <w:lang w:val="lt-LT"/>
              </w:rPr>
            </w:pPr>
            <w:r>
              <w:rPr>
                <w:b/>
                <w:lang w:val="lt-LT"/>
              </w:rPr>
              <w:t>Iš viso kitos pervestinos sumos</w:t>
            </w:r>
          </w:p>
        </w:tc>
        <w:tc>
          <w:tcPr>
            <w:tcW w:w="1559" w:type="dxa"/>
          </w:tcPr>
          <w:p w:rsidR="0025127F" w:rsidRPr="00EA7AD0" w:rsidRDefault="00F6550D" w:rsidP="00D3221F">
            <w:pPr>
              <w:tabs>
                <w:tab w:val="left" w:pos="540"/>
                <w:tab w:val="left" w:pos="1260"/>
              </w:tabs>
              <w:jc w:val="center"/>
              <w:rPr>
                <w:b/>
                <w:lang w:val="lt-LT"/>
              </w:rPr>
            </w:pPr>
            <w:r>
              <w:rPr>
                <w:b/>
                <w:lang w:val="lt-LT"/>
              </w:rPr>
              <w:t>24,00</w:t>
            </w:r>
          </w:p>
        </w:tc>
      </w:tr>
    </w:tbl>
    <w:p w:rsidR="00D35782" w:rsidRPr="00DA5ADA" w:rsidRDefault="00D35782" w:rsidP="00D35782">
      <w:pPr>
        <w:numPr>
          <w:ilvl w:val="0"/>
          <w:numId w:val="1"/>
        </w:numPr>
        <w:tabs>
          <w:tab w:val="left" w:pos="540"/>
          <w:tab w:val="left" w:pos="1260"/>
        </w:tabs>
        <w:ind w:firstLine="900"/>
        <w:jc w:val="both"/>
        <w:rPr>
          <w:lang w:val="lt-LT"/>
        </w:rPr>
      </w:pPr>
      <w:r w:rsidRPr="00DA5ADA">
        <w:rPr>
          <w:lang w:val="lt-LT"/>
        </w:rPr>
        <w:t xml:space="preserve">Pagrindinės veiklos pajamos pripažįstamos pagal 20-ojo VSAFAS „Finansavimo sumos” nuostatas. Finansavimo pajamos pripažįstamos pagal kaupimo principą. </w:t>
      </w:r>
      <w:r w:rsidR="00564BBC" w:rsidRPr="00DA5ADA">
        <w:rPr>
          <w:lang w:val="lt-LT"/>
        </w:rPr>
        <w:t>Ataskaitinio laikotarpio veiklos rezultatai pateikiami 3- jo VSAFAS „Veiklos rezultatų ataskaita“ 2 priede.</w:t>
      </w:r>
    </w:p>
    <w:p w:rsidR="00D35782" w:rsidRDefault="00D35782" w:rsidP="00D35782">
      <w:pPr>
        <w:numPr>
          <w:ilvl w:val="0"/>
          <w:numId w:val="1"/>
        </w:numPr>
        <w:tabs>
          <w:tab w:val="left" w:pos="540"/>
          <w:tab w:val="left" w:pos="1260"/>
        </w:tabs>
        <w:ind w:firstLine="900"/>
        <w:jc w:val="both"/>
        <w:rPr>
          <w:lang w:val="lt-LT"/>
        </w:rPr>
      </w:pPr>
      <w:r w:rsidRPr="00D01B5A">
        <w:rPr>
          <w:lang w:val="lt-LT"/>
        </w:rPr>
        <w:t xml:space="preserve">Sąnaudos pripažįstamos ir registruojamos apskaitoje tą ataskaitinį laikotarpį, kurį jos patirtos. Veiklos rezultatų ataskaitoje pagrindinės veiklos sąnaudos rodomos pagal jų pobūdį. Sąnaudų </w:t>
      </w:r>
      <w:r w:rsidR="00AC604A">
        <w:rPr>
          <w:lang w:val="lt-LT"/>
        </w:rPr>
        <w:t>apskaitos rezultatai pateikiami 3- jo VSAFAS „Veiklos rezultatų ataskaita“ 2 priede.</w:t>
      </w:r>
    </w:p>
    <w:p w:rsidR="00FB7913" w:rsidRPr="00D01B5A" w:rsidRDefault="00FB7913" w:rsidP="00FB7913">
      <w:pPr>
        <w:numPr>
          <w:ilvl w:val="0"/>
          <w:numId w:val="1"/>
        </w:numPr>
        <w:tabs>
          <w:tab w:val="left" w:pos="540"/>
          <w:tab w:val="left" w:pos="1260"/>
        </w:tabs>
        <w:ind w:firstLine="900"/>
        <w:jc w:val="both"/>
        <w:rPr>
          <w:lang w:val="lt-LT"/>
        </w:rPr>
      </w:pPr>
      <w:r>
        <w:rPr>
          <w:lang w:val="lt-LT"/>
        </w:rPr>
        <w:t>Įstaigoje per laikotarpį ženkliai padidėjo pagrindinės veiklos kitos pajamos kas sudarė 47</w:t>
      </w:r>
      <w:r w:rsidR="00B05D71">
        <w:rPr>
          <w:lang w:val="lt-LT"/>
        </w:rPr>
        <w:t>29,20</w:t>
      </w:r>
      <w:r>
        <w:rPr>
          <w:lang w:val="lt-LT"/>
        </w:rPr>
        <w:t xml:space="preserve"> Eur (</w:t>
      </w:r>
      <w:r w:rsidR="00B05D71">
        <w:rPr>
          <w:lang w:val="lt-LT"/>
        </w:rPr>
        <w:t>19,04</w:t>
      </w:r>
      <w:r>
        <w:rPr>
          <w:lang w:val="lt-LT"/>
        </w:rPr>
        <w:t xml:space="preserve"> proc.). Šių pajamų augimą sąlygojo tai, kad mokykla pailgino ugdymo procesą 2  savaitėmis.</w:t>
      </w:r>
    </w:p>
    <w:p w:rsidR="00841FEF" w:rsidRDefault="00841FEF" w:rsidP="00D35782">
      <w:pPr>
        <w:numPr>
          <w:ilvl w:val="0"/>
          <w:numId w:val="1"/>
        </w:numPr>
        <w:tabs>
          <w:tab w:val="left" w:pos="540"/>
          <w:tab w:val="left" w:pos="1260"/>
        </w:tabs>
        <w:ind w:firstLine="900"/>
        <w:jc w:val="both"/>
        <w:rPr>
          <w:lang w:val="lt-LT"/>
        </w:rPr>
      </w:pPr>
      <w:r>
        <w:rPr>
          <w:lang w:val="lt-LT"/>
        </w:rPr>
        <w:t xml:space="preserve">Darbo užmokesčio ir socialinio draudimo sąnaudos 2019 m. lyginant rezultatus su tuo pačiu 2018 m. laikotarpiu išaugo </w:t>
      </w:r>
      <w:r w:rsidR="00D363FB">
        <w:rPr>
          <w:lang w:val="lt-LT"/>
        </w:rPr>
        <w:t>45649,33</w:t>
      </w:r>
      <w:r>
        <w:rPr>
          <w:lang w:val="lt-LT"/>
        </w:rPr>
        <w:t xml:space="preserve"> Eur, kas sudarė </w:t>
      </w:r>
      <w:r w:rsidR="00D363FB">
        <w:rPr>
          <w:lang w:val="lt-LT"/>
        </w:rPr>
        <w:t>10,48</w:t>
      </w:r>
      <w:r>
        <w:rPr>
          <w:lang w:val="lt-LT"/>
        </w:rPr>
        <w:t xml:space="preserve"> proc.</w:t>
      </w:r>
    </w:p>
    <w:p w:rsidR="00433571" w:rsidRDefault="00433571" w:rsidP="00D35782">
      <w:pPr>
        <w:numPr>
          <w:ilvl w:val="0"/>
          <w:numId w:val="1"/>
        </w:numPr>
        <w:tabs>
          <w:tab w:val="left" w:pos="540"/>
          <w:tab w:val="left" w:pos="1260"/>
        </w:tabs>
        <w:ind w:firstLine="900"/>
        <w:jc w:val="both"/>
        <w:rPr>
          <w:lang w:val="lt-LT"/>
        </w:rPr>
      </w:pPr>
      <w:r>
        <w:rPr>
          <w:lang w:val="lt-LT"/>
        </w:rPr>
        <w:t xml:space="preserve">Įstaigoje per ataskaitinį laikotarpį labai išaugo komunalinių paslaugų sąnaudos </w:t>
      </w:r>
      <w:r w:rsidR="00F44549">
        <w:rPr>
          <w:lang w:val="lt-LT"/>
        </w:rPr>
        <w:t>11365,13</w:t>
      </w:r>
      <w:r>
        <w:rPr>
          <w:lang w:val="lt-LT"/>
        </w:rPr>
        <w:t xml:space="preserve"> Eur, kas sudarė </w:t>
      </w:r>
      <w:r w:rsidR="00F44549">
        <w:rPr>
          <w:lang w:val="lt-LT"/>
        </w:rPr>
        <w:t>200,31</w:t>
      </w:r>
      <w:r w:rsidR="00FB7913">
        <w:rPr>
          <w:lang w:val="lt-LT"/>
        </w:rPr>
        <w:t xml:space="preserve"> proc. daugiau nei 2018 m. Komunalinių paslaugų sąnaudų augimą sąlygojo prisidėję II korpuso šildymo</w:t>
      </w:r>
      <w:r w:rsidR="00B75944">
        <w:rPr>
          <w:lang w:val="lt-LT"/>
        </w:rPr>
        <w:t>, elektros energijos, priežiūros ir kitos</w:t>
      </w:r>
      <w:r w:rsidR="00FB7913">
        <w:rPr>
          <w:lang w:val="lt-LT"/>
        </w:rPr>
        <w:t xml:space="preserve"> paslaugos, kurių 2018 m</w:t>
      </w:r>
      <w:r w:rsidR="00B75944">
        <w:rPr>
          <w:lang w:val="lt-LT"/>
        </w:rPr>
        <w:t>etais</w:t>
      </w:r>
      <w:r w:rsidR="00FB7913">
        <w:rPr>
          <w:lang w:val="lt-LT"/>
        </w:rPr>
        <w:t xml:space="preserve"> mokykla neturėjo.</w:t>
      </w:r>
    </w:p>
    <w:p w:rsidR="00C36CED" w:rsidRDefault="00C36CED" w:rsidP="00D35782">
      <w:pPr>
        <w:numPr>
          <w:ilvl w:val="0"/>
          <w:numId w:val="1"/>
        </w:numPr>
        <w:tabs>
          <w:tab w:val="left" w:pos="540"/>
          <w:tab w:val="left" w:pos="1260"/>
        </w:tabs>
        <w:ind w:firstLine="900"/>
        <w:jc w:val="both"/>
        <w:rPr>
          <w:lang w:val="lt-LT"/>
        </w:rPr>
      </w:pPr>
      <w:r>
        <w:rPr>
          <w:lang w:val="lt-LT"/>
        </w:rPr>
        <w:t>Per skaičiuojamąjį laikotarpį išaugo kitų paslaugų sąnaudos 7725,30 Eur, kas sudarė 75,15 p</w:t>
      </w:r>
      <w:r w:rsidR="00C3756A">
        <w:rPr>
          <w:lang w:val="lt-LT"/>
        </w:rPr>
        <w:t>r</w:t>
      </w:r>
      <w:r>
        <w:rPr>
          <w:lang w:val="lt-LT"/>
        </w:rPr>
        <w:t>oc.</w:t>
      </w:r>
      <w:r w:rsidR="00C3756A">
        <w:rPr>
          <w:lang w:val="lt-LT"/>
        </w:rPr>
        <w:t xml:space="preserve"> Didėjimą sąlygojo skirtas finansavimas pučiamųjų orkestro veikloms vykdyti.</w:t>
      </w:r>
    </w:p>
    <w:p w:rsidR="00D35782" w:rsidRPr="002F2C95" w:rsidRDefault="00D35782" w:rsidP="00D35782">
      <w:pPr>
        <w:numPr>
          <w:ilvl w:val="0"/>
          <w:numId w:val="1"/>
        </w:numPr>
        <w:tabs>
          <w:tab w:val="left" w:pos="540"/>
          <w:tab w:val="left" w:pos="1260"/>
        </w:tabs>
        <w:ind w:firstLine="900"/>
        <w:jc w:val="both"/>
        <w:rPr>
          <w:lang w:val="lt-LT"/>
        </w:rPr>
      </w:pPr>
      <w:r w:rsidRPr="002F2C95">
        <w:rPr>
          <w:lang w:val="lt-LT"/>
        </w:rPr>
        <w:t xml:space="preserve">Ataskaitinio laikotarpio pabaigoje perviršis sudarė  </w:t>
      </w:r>
      <w:r w:rsidR="00600D80" w:rsidRPr="002F2C95">
        <w:rPr>
          <w:lang w:val="lt-LT"/>
        </w:rPr>
        <w:t>8824,14</w:t>
      </w:r>
      <w:r w:rsidRPr="002F2C95">
        <w:rPr>
          <w:lang w:val="lt-LT"/>
        </w:rPr>
        <w:t xml:space="preserve"> Eur.</w:t>
      </w:r>
    </w:p>
    <w:p w:rsidR="00D35782" w:rsidRDefault="00D35782" w:rsidP="00D35782">
      <w:pPr>
        <w:numPr>
          <w:ilvl w:val="0"/>
          <w:numId w:val="1"/>
        </w:numPr>
        <w:tabs>
          <w:tab w:val="left" w:pos="540"/>
          <w:tab w:val="left" w:pos="1260"/>
        </w:tabs>
        <w:ind w:firstLine="900"/>
        <w:jc w:val="both"/>
        <w:rPr>
          <w:lang w:val="lt-LT"/>
        </w:rPr>
      </w:pPr>
      <w:r>
        <w:rPr>
          <w:lang w:val="lt-LT"/>
        </w:rPr>
        <w:t xml:space="preserve">Nebalansinėse sąskaitose kontrolės tikslais apskaitomo </w:t>
      </w:r>
      <w:r w:rsidR="00450F51">
        <w:rPr>
          <w:lang w:val="lt-LT"/>
        </w:rPr>
        <w:t xml:space="preserve">ūkio </w:t>
      </w:r>
      <w:r>
        <w:rPr>
          <w:lang w:val="lt-LT"/>
        </w:rPr>
        <w:t>inventoriaus</w:t>
      </w:r>
      <w:r w:rsidR="00450F51">
        <w:rPr>
          <w:lang w:val="lt-LT"/>
        </w:rPr>
        <w:t xml:space="preserve"> vertė ataskaitinio laikotarpio pabaigoje</w:t>
      </w:r>
      <w:r>
        <w:rPr>
          <w:lang w:val="lt-LT"/>
        </w:rPr>
        <w:t xml:space="preserve"> </w:t>
      </w:r>
      <w:r w:rsidR="00450F51">
        <w:rPr>
          <w:lang w:val="lt-LT"/>
        </w:rPr>
        <w:t>sudarė</w:t>
      </w:r>
      <w:r>
        <w:rPr>
          <w:lang w:val="lt-LT"/>
        </w:rPr>
        <w:t xml:space="preserve"> </w:t>
      </w:r>
      <w:r w:rsidR="00204A56">
        <w:rPr>
          <w:lang w:val="lt-LT"/>
        </w:rPr>
        <w:t>11</w:t>
      </w:r>
      <w:r w:rsidR="008F48B5">
        <w:rPr>
          <w:lang w:val="lt-LT"/>
        </w:rPr>
        <w:t>8108,95</w:t>
      </w:r>
      <w:r>
        <w:rPr>
          <w:lang w:val="lt-LT"/>
        </w:rPr>
        <w:t xml:space="preserve"> Eur.</w:t>
      </w:r>
    </w:p>
    <w:p w:rsidR="005A3376" w:rsidRDefault="00F12E77" w:rsidP="00D35782">
      <w:pPr>
        <w:numPr>
          <w:ilvl w:val="0"/>
          <w:numId w:val="1"/>
        </w:numPr>
        <w:tabs>
          <w:tab w:val="left" w:pos="540"/>
          <w:tab w:val="left" w:pos="1260"/>
        </w:tabs>
        <w:ind w:firstLine="900"/>
        <w:jc w:val="both"/>
        <w:rPr>
          <w:lang w:val="lt-LT"/>
        </w:rPr>
      </w:pPr>
      <w:r>
        <w:rPr>
          <w:lang w:val="lt-LT"/>
        </w:rPr>
        <w:t xml:space="preserve">Pagal panaudos sutartis gauto turto vertė </w:t>
      </w:r>
      <w:r w:rsidR="005A3376">
        <w:rPr>
          <w:lang w:val="lt-LT"/>
        </w:rPr>
        <w:t xml:space="preserve">ataskaitinio laikotarpio pabaigoje sudarė </w:t>
      </w:r>
      <w:r w:rsidR="00204A56">
        <w:rPr>
          <w:lang w:val="lt-LT"/>
        </w:rPr>
        <w:t>63995,91</w:t>
      </w:r>
      <w:r w:rsidR="005A3376">
        <w:rPr>
          <w:lang w:val="lt-LT"/>
        </w:rPr>
        <w:t xml:space="preserve"> Eur</w:t>
      </w:r>
      <w:r w:rsidR="008F48B5">
        <w:rPr>
          <w:lang w:val="lt-LT"/>
        </w:rPr>
        <w:t>, iš jų ilgalaikis turtas 52981,87 Eur, mažaverčio inventoriaus už 11014,04 Eur.</w:t>
      </w:r>
      <w:r w:rsidR="005A3376">
        <w:rPr>
          <w:lang w:val="lt-LT"/>
        </w:rPr>
        <w:t>.</w:t>
      </w:r>
    </w:p>
    <w:p w:rsidR="00D35782" w:rsidRDefault="00D35782" w:rsidP="00D35782">
      <w:pPr>
        <w:jc w:val="both"/>
        <w:rPr>
          <w:lang w:val="lt-LT"/>
        </w:rPr>
      </w:pPr>
    </w:p>
    <w:p w:rsidR="00532E60" w:rsidRDefault="00532E60" w:rsidP="00D35782">
      <w:pPr>
        <w:jc w:val="both"/>
        <w:rPr>
          <w:lang w:val="lt-LT"/>
        </w:rPr>
      </w:pPr>
    </w:p>
    <w:p w:rsidR="003C406B" w:rsidRDefault="003C406B" w:rsidP="00D35782">
      <w:pPr>
        <w:jc w:val="both"/>
        <w:rPr>
          <w:lang w:val="lt-LT"/>
        </w:rPr>
      </w:pPr>
    </w:p>
    <w:p w:rsidR="00532E60" w:rsidRDefault="00532E60" w:rsidP="00D35782">
      <w:pPr>
        <w:jc w:val="both"/>
        <w:rPr>
          <w:lang w:val="lt-LT"/>
        </w:rPr>
      </w:pPr>
    </w:p>
    <w:p w:rsidR="00D35782" w:rsidRPr="0045694A" w:rsidRDefault="00D35782" w:rsidP="00D35782">
      <w:pPr>
        <w:jc w:val="both"/>
        <w:rPr>
          <w:lang w:val="lt-LT"/>
        </w:rPr>
      </w:pPr>
      <w:r w:rsidRPr="0045694A">
        <w:rPr>
          <w:lang w:val="lt-LT"/>
        </w:rPr>
        <w:t xml:space="preserve">Direktorius                                             </w:t>
      </w:r>
      <w:r w:rsidRPr="0045694A">
        <w:rPr>
          <w:lang w:val="lt-LT"/>
        </w:rPr>
        <w:tab/>
        <w:t xml:space="preserve">               </w:t>
      </w:r>
      <w:r w:rsidRPr="0045694A">
        <w:rPr>
          <w:lang w:val="lt-LT"/>
        </w:rPr>
        <w:tab/>
      </w:r>
      <w:r w:rsidRPr="0045694A">
        <w:rPr>
          <w:lang w:val="lt-LT"/>
        </w:rPr>
        <w:tab/>
      </w:r>
      <w:r w:rsidRPr="0045694A">
        <w:rPr>
          <w:lang w:val="lt-LT"/>
        </w:rPr>
        <w:tab/>
      </w:r>
      <w:r>
        <w:rPr>
          <w:lang w:val="lt-LT"/>
        </w:rPr>
        <w:t>Artūras Pečkaitis</w:t>
      </w:r>
    </w:p>
    <w:p w:rsidR="00D35782" w:rsidRDefault="00D35782" w:rsidP="00D35782">
      <w:pPr>
        <w:jc w:val="both"/>
        <w:rPr>
          <w:lang w:val="lt-LT"/>
        </w:rPr>
      </w:pPr>
    </w:p>
    <w:p w:rsidR="005A3376" w:rsidRDefault="005A3376" w:rsidP="00D35782">
      <w:pPr>
        <w:jc w:val="both"/>
        <w:rPr>
          <w:lang w:val="lt-LT"/>
        </w:rPr>
      </w:pPr>
    </w:p>
    <w:p w:rsidR="005A3376" w:rsidRDefault="005A3376" w:rsidP="00D35782">
      <w:pPr>
        <w:jc w:val="both"/>
        <w:rPr>
          <w:lang w:val="lt-LT"/>
        </w:rPr>
      </w:pPr>
    </w:p>
    <w:p w:rsidR="00D35782" w:rsidRDefault="00D35782" w:rsidP="00D35782">
      <w:pPr>
        <w:jc w:val="both"/>
        <w:rPr>
          <w:lang w:val="lt-LT"/>
        </w:rPr>
      </w:pPr>
      <w:r>
        <w:rPr>
          <w:lang w:val="lt-LT"/>
        </w:rPr>
        <w:t>Vyriausiasis buhalteris</w:t>
      </w:r>
      <w:r>
        <w:rPr>
          <w:lang w:val="lt-LT"/>
        </w:rPr>
        <w:tab/>
      </w:r>
      <w:r>
        <w:rPr>
          <w:lang w:val="lt-LT"/>
        </w:rPr>
        <w:tab/>
      </w:r>
      <w:r>
        <w:rPr>
          <w:lang w:val="lt-LT"/>
        </w:rPr>
        <w:tab/>
      </w:r>
      <w:r>
        <w:rPr>
          <w:lang w:val="lt-LT"/>
        </w:rPr>
        <w:tab/>
      </w:r>
      <w:r>
        <w:rPr>
          <w:lang w:val="lt-LT"/>
        </w:rPr>
        <w:tab/>
        <w:t>Ričardas Augaitis</w:t>
      </w:r>
    </w:p>
    <w:p w:rsidR="00D35782" w:rsidRDefault="00D35782" w:rsidP="00D35782">
      <w:pPr>
        <w:jc w:val="both"/>
        <w:rPr>
          <w:sz w:val="22"/>
          <w:szCs w:val="22"/>
          <w:lang w:val="lt-LT"/>
        </w:rPr>
      </w:pPr>
    </w:p>
    <w:p w:rsidR="00D35782" w:rsidRDefault="00D35782"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5A3376" w:rsidRDefault="005A3376" w:rsidP="00D35782">
      <w:pPr>
        <w:jc w:val="both"/>
        <w:rPr>
          <w:sz w:val="22"/>
          <w:szCs w:val="22"/>
          <w:lang w:val="lt-LT"/>
        </w:rPr>
      </w:pPr>
    </w:p>
    <w:p w:rsidR="007B01B9" w:rsidRDefault="00D35782" w:rsidP="00FB7913">
      <w:pPr>
        <w:jc w:val="both"/>
      </w:pPr>
      <w:r>
        <w:rPr>
          <w:sz w:val="22"/>
          <w:szCs w:val="22"/>
          <w:lang w:val="lt-LT"/>
        </w:rPr>
        <w:t>Ričardas Augaitis</w:t>
      </w:r>
      <w:r w:rsidRPr="0045694A">
        <w:rPr>
          <w:sz w:val="22"/>
          <w:szCs w:val="22"/>
          <w:lang w:val="lt-LT"/>
        </w:rPr>
        <w:t xml:space="preserve">,  (8 342 </w:t>
      </w:r>
      <w:r>
        <w:rPr>
          <w:sz w:val="22"/>
          <w:szCs w:val="22"/>
          <w:lang w:val="lt-LT"/>
        </w:rPr>
        <w:t>51792</w:t>
      </w:r>
      <w:r w:rsidRPr="0045694A">
        <w:rPr>
          <w:sz w:val="22"/>
          <w:szCs w:val="22"/>
          <w:lang w:val="lt-LT"/>
        </w:rPr>
        <w:t>)</w:t>
      </w:r>
    </w:p>
    <w:sectPr w:rsidR="007B01B9" w:rsidSect="00D74C3E">
      <w:footerReference w:type="even" r:id="rId9"/>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CC" w:rsidRDefault="00D56CCC">
      <w:r>
        <w:separator/>
      </w:r>
    </w:p>
  </w:endnote>
  <w:endnote w:type="continuationSeparator" w:id="0">
    <w:p w:rsidR="00D56CCC" w:rsidRDefault="00D5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90" w:rsidRDefault="00D357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B2B90" w:rsidRDefault="00D56CC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90" w:rsidRDefault="00D357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4A0C">
      <w:rPr>
        <w:rStyle w:val="Puslapionumeris"/>
        <w:noProof/>
      </w:rPr>
      <w:t>1</w:t>
    </w:r>
    <w:r>
      <w:rPr>
        <w:rStyle w:val="Puslapionumeris"/>
      </w:rPr>
      <w:fldChar w:fldCharType="end"/>
    </w:r>
  </w:p>
  <w:p w:rsidR="00DB2B90" w:rsidRDefault="00D56CC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CC" w:rsidRDefault="00D56CCC">
      <w:r>
        <w:separator/>
      </w:r>
    </w:p>
  </w:footnote>
  <w:footnote w:type="continuationSeparator" w:id="0">
    <w:p w:rsidR="00D56CCC" w:rsidRDefault="00D56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6AE"/>
    <w:multiLevelType w:val="hybridMultilevel"/>
    <w:tmpl w:val="24F07C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E008D"/>
    <w:multiLevelType w:val="hybridMultilevel"/>
    <w:tmpl w:val="DF96F932"/>
    <w:lvl w:ilvl="0" w:tplc="30BA94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9E400B6"/>
    <w:multiLevelType w:val="hybridMultilevel"/>
    <w:tmpl w:val="0EDA37FC"/>
    <w:lvl w:ilvl="0" w:tplc="8A960B76">
      <w:start w:val="1"/>
      <w:numFmt w:val="decimal"/>
      <w:lvlText w:val="%1."/>
      <w:lvlJc w:val="left"/>
      <w:pPr>
        <w:tabs>
          <w:tab w:val="num" w:pos="284"/>
        </w:tabs>
        <w:ind w:left="0" w:firstLine="0"/>
      </w:pPr>
      <w:rPr>
        <w:rFonts w:hint="default"/>
        <w:color w:val="auto"/>
        <w:lang w:val="es-ES"/>
      </w:rPr>
    </w:lvl>
    <w:lvl w:ilvl="1" w:tplc="2A569DC8">
      <w:start w:val="1"/>
      <w:numFmt w:val="bullet"/>
      <w:lvlText w:val=""/>
      <w:lvlJc w:val="left"/>
      <w:pPr>
        <w:tabs>
          <w:tab w:val="num" w:pos="1134"/>
        </w:tabs>
        <w:ind w:left="1134" w:hanging="283"/>
      </w:pPr>
      <w:rPr>
        <w:rFonts w:ascii="Wingdings" w:hAnsi="Wingding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2EF270B"/>
    <w:multiLevelType w:val="hybridMultilevel"/>
    <w:tmpl w:val="4C0601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82"/>
    <w:rsid w:val="000106A4"/>
    <w:rsid w:val="0001554F"/>
    <w:rsid w:val="00022191"/>
    <w:rsid w:val="00031517"/>
    <w:rsid w:val="0005637C"/>
    <w:rsid w:val="000C7148"/>
    <w:rsid w:val="000D642B"/>
    <w:rsid w:val="000E10E8"/>
    <w:rsid w:val="00104ED4"/>
    <w:rsid w:val="00111228"/>
    <w:rsid w:val="00117A1F"/>
    <w:rsid w:val="00125B33"/>
    <w:rsid w:val="0015270A"/>
    <w:rsid w:val="001553D0"/>
    <w:rsid w:val="001845A8"/>
    <w:rsid w:val="00185001"/>
    <w:rsid w:val="001C4B0D"/>
    <w:rsid w:val="001D2F07"/>
    <w:rsid w:val="001D3DC1"/>
    <w:rsid w:val="001E3F02"/>
    <w:rsid w:val="00204A56"/>
    <w:rsid w:val="00220B99"/>
    <w:rsid w:val="0024669C"/>
    <w:rsid w:val="0025127F"/>
    <w:rsid w:val="00251B55"/>
    <w:rsid w:val="00256791"/>
    <w:rsid w:val="00263AC7"/>
    <w:rsid w:val="00270666"/>
    <w:rsid w:val="002720D2"/>
    <w:rsid w:val="0029424D"/>
    <w:rsid w:val="002979BC"/>
    <w:rsid w:val="002A75CD"/>
    <w:rsid w:val="002B738A"/>
    <w:rsid w:val="002C3BEC"/>
    <w:rsid w:val="002E3FC5"/>
    <w:rsid w:val="002F2C95"/>
    <w:rsid w:val="002F4EF2"/>
    <w:rsid w:val="00334819"/>
    <w:rsid w:val="00341810"/>
    <w:rsid w:val="00342868"/>
    <w:rsid w:val="00345F9C"/>
    <w:rsid w:val="003955A3"/>
    <w:rsid w:val="003C406B"/>
    <w:rsid w:val="003D6194"/>
    <w:rsid w:val="003E21A0"/>
    <w:rsid w:val="00414F9C"/>
    <w:rsid w:val="00420D6A"/>
    <w:rsid w:val="00421FF8"/>
    <w:rsid w:val="00432642"/>
    <w:rsid w:val="00433571"/>
    <w:rsid w:val="00450F51"/>
    <w:rsid w:val="00461326"/>
    <w:rsid w:val="00481065"/>
    <w:rsid w:val="0048451B"/>
    <w:rsid w:val="004B054C"/>
    <w:rsid w:val="004B0EEE"/>
    <w:rsid w:val="004C0166"/>
    <w:rsid w:val="004D648C"/>
    <w:rsid w:val="004E1170"/>
    <w:rsid w:val="004F6111"/>
    <w:rsid w:val="00513084"/>
    <w:rsid w:val="005230AA"/>
    <w:rsid w:val="00527D86"/>
    <w:rsid w:val="00532E60"/>
    <w:rsid w:val="00543608"/>
    <w:rsid w:val="00563079"/>
    <w:rsid w:val="00564BBC"/>
    <w:rsid w:val="00577966"/>
    <w:rsid w:val="00581D54"/>
    <w:rsid w:val="00591C0D"/>
    <w:rsid w:val="005A3376"/>
    <w:rsid w:val="005B517D"/>
    <w:rsid w:val="005F084D"/>
    <w:rsid w:val="00600D80"/>
    <w:rsid w:val="0061203C"/>
    <w:rsid w:val="006162E8"/>
    <w:rsid w:val="00623DA4"/>
    <w:rsid w:val="006274F2"/>
    <w:rsid w:val="00685476"/>
    <w:rsid w:val="006B21EC"/>
    <w:rsid w:val="006D2ECD"/>
    <w:rsid w:val="006D59CB"/>
    <w:rsid w:val="00700236"/>
    <w:rsid w:val="0070550D"/>
    <w:rsid w:val="007340C3"/>
    <w:rsid w:val="0074198B"/>
    <w:rsid w:val="00773173"/>
    <w:rsid w:val="00774FE4"/>
    <w:rsid w:val="00781A16"/>
    <w:rsid w:val="007A0088"/>
    <w:rsid w:val="007A6751"/>
    <w:rsid w:val="007B01B9"/>
    <w:rsid w:val="007C390F"/>
    <w:rsid w:val="007C4FA8"/>
    <w:rsid w:val="007D0D7F"/>
    <w:rsid w:val="007E77C0"/>
    <w:rsid w:val="007F38D9"/>
    <w:rsid w:val="00814E9B"/>
    <w:rsid w:val="00821304"/>
    <w:rsid w:val="00841FEF"/>
    <w:rsid w:val="00854FC3"/>
    <w:rsid w:val="008554E8"/>
    <w:rsid w:val="00856A85"/>
    <w:rsid w:val="008573A0"/>
    <w:rsid w:val="00862E90"/>
    <w:rsid w:val="008A6E69"/>
    <w:rsid w:val="008B2A69"/>
    <w:rsid w:val="008E1D3A"/>
    <w:rsid w:val="008E5FBC"/>
    <w:rsid w:val="008F48B5"/>
    <w:rsid w:val="00922A15"/>
    <w:rsid w:val="00946F33"/>
    <w:rsid w:val="00970210"/>
    <w:rsid w:val="009842CE"/>
    <w:rsid w:val="009A3A6B"/>
    <w:rsid w:val="009E77CF"/>
    <w:rsid w:val="009F0983"/>
    <w:rsid w:val="009F1EDD"/>
    <w:rsid w:val="009F5048"/>
    <w:rsid w:val="009F520C"/>
    <w:rsid w:val="00A96859"/>
    <w:rsid w:val="00AC604A"/>
    <w:rsid w:val="00AE1AAF"/>
    <w:rsid w:val="00B05D71"/>
    <w:rsid w:val="00B20238"/>
    <w:rsid w:val="00B554A4"/>
    <w:rsid w:val="00B565F5"/>
    <w:rsid w:val="00B75944"/>
    <w:rsid w:val="00B84A0C"/>
    <w:rsid w:val="00BB4275"/>
    <w:rsid w:val="00BE5FD3"/>
    <w:rsid w:val="00C00334"/>
    <w:rsid w:val="00C02352"/>
    <w:rsid w:val="00C2374A"/>
    <w:rsid w:val="00C36CED"/>
    <w:rsid w:val="00C3756A"/>
    <w:rsid w:val="00C968C2"/>
    <w:rsid w:val="00CB1C77"/>
    <w:rsid w:val="00CB2766"/>
    <w:rsid w:val="00CB4F1C"/>
    <w:rsid w:val="00CB6A43"/>
    <w:rsid w:val="00CB6D41"/>
    <w:rsid w:val="00CC2014"/>
    <w:rsid w:val="00CD058A"/>
    <w:rsid w:val="00D103FC"/>
    <w:rsid w:val="00D13A2A"/>
    <w:rsid w:val="00D150A2"/>
    <w:rsid w:val="00D24D17"/>
    <w:rsid w:val="00D3221F"/>
    <w:rsid w:val="00D35782"/>
    <w:rsid w:val="00D363FB"/>
    <w:rsid w:val="00D55DDB"/>
    <w:rsid w:val="00D56CCC"/>
    <w:rsid w:val="00D62726"/>
    <w:rsid w:val="00D71F6B"/>
    <w:rsid w:val="00D83CD2"/>
    <w:rsid w:val="00DA5ADA"/>
    <w:rsid w:val="00DB4788"/>
    <w:rsid w:val="00E02BC5"/>
    <w:rsid w:val="00E12CBB"/>
    <w:rsid w:val="00E37BC7"/>
    <w:rsid w:val="00E37F1F"/>
    <w:rsid w:val="00E40A01"/>
    <w:rsid w:val="00E44FFF"/>
    <w:rsid w:val="00E602F3"/>
    <w:rsid w:val="00E627BB"/>
    <w:rsid w:val="00E8276A"/>
    <w:rsid w:val="00E9727B"/>
    <w:rsid w:val="00EA246B"/>
    <w:rsid w:val="00EA7AD0"/>
    <w:rsid w:val="00ED645F"/>
    <w:rsid w:val="00EE1758"/>
    <w:rsid w:val="00EF2719"/>
    <w:rsid w:val="00F0793C"/>
    <w:rsid w:val="00F12E77"/>
    <w:rsid w:val="00F44549"/>
    <w:rsid w:val="00F502A2"/>
    <w:rsid w:val="00F52D11"/>
    <w:rsid w:val="00F6513C"/>
    <w:rsid w:val="00F6550D"/>
    <w:rsid w:val="00F82CF3"/>
    <w:rsid w:val="00F9583C"/>
    <w:rsid w:val="00F97891"/>
    <w:rsid w:val="00FB22DE"/>
    <w:rsid w:val="00FB7913"/>
    <w:rsid w:val="00FC0D6D"/>
    <w:rsid w:val="00FD31E4"/>
    <w:rsid w:val="00FF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5782"/>
    <w:pPr>
      <w:spacing w:after="0" w:line="240" w:lineRule="auto"/>
    </w:pPr>
    <w:rPr>
      <w:rFonts w:eastAsia="Times New Roman" w:cs="Times New Roman"/>
      <w:szCs w:val="24"/>
      <w:lang w:val="en-GB"/>
    </w:rPr>
  </w:style>
  <w:style w:type="paragraph" w:styleId="Antrat2">
    <w:name w:val="heading 2"/>
    <w:basedOn w:val="prastasis"/>
    <w:next w:val="prastasis"/>
    <w:link w:val="Antrat2Diagrama"/>
    <w:qFormat/>
    <w:rsid w:val="00D35782"/>
    <w:pPr>
      <w:keepNext/>
      <w:ind w:left="-540" w:firstLine="540"/>
      <w:outlineLvl w:val="1"/>
    </w:pPr>
    <w:rPr>
      <w:b/>
      <w:bCs/>
      <w:lang w:val="lt-LT"/>
    </w:rPr>
  </w:style>
  <w:style w:type="paragraph" w:styleId="Antrat3">
    <w:name w:val="heading 3"/>
    <w:basedOn w:val="prastasis"/>
    <w:next w:val="prastasis"/>
    <w:link w:val="Antrat3Diagrama"/>
    <w:uiPriority w:val="9"/>
    <w:semiHidden/>
    <w:unhideWhenUsed/>
    <w:qFormat/>
    <w:rsid w:val="00EE1758"/>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D35782"/>
    <w:pPr>
      <w:keepNext/>
      <w:ind w:left="-360"/>
      <w:outlineLvl w:val="5"/>
    </w:pPr>
    <w:rPr>
      <w:b/>
      <w:bCs/>
      <w:sz w:val="32"/>
      <w:lang w:val="lt-LT"/>
    </w:rPr>
  </w:style>
  <w:style w:type="paragraph" w:styleId="Antrat7">
    <w:name w:val="heading 7"/>
    <w:basedOn w:val="prastasis"/>
    <w:next w:val="prastasis"/>
    <w:link w:val="Antrat7Diagrama"/>
    <w:qFormat/>
    <w:rsid w:val="00D35782"/>
    <w:pPr>
      <w:keepNext/>
      <w:ind w:left="-540"/>
      <w:jc w:val="center"/>
      <w:outlineLvl w:val="6"/>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35782"/>
    <w:rPr>
      <w:rFonts w:eastAsia="Times New Roman" w:cs="Times New Roman"/>
      <w:b/>
      <w:bCs/>
      <w:szCs w:val="24"/>
    </w:rPr>
  </w:style>
  <w:style w:type="character" w:customStyle="1" w:styleId="Antrat6Diagrama">
    <w:name w:val="Antraštė 6 Diagrama"/>
    <w:basedOn w:val="Numatytasispastraiposriftas"/>
    <w:link w:val="Antrat6"/>
    <w:rsid w:val="00D35782"/>
    <w:rPr>
      <w:rFonts w:eastAsia="Times New Roman" w:cs="Times New Roman"/>
      <w:b/>
      <w:bCs/>
      <w:sz w:val="32"/>
      <w:szCs w:val="24"/>
    </w:rPr>
  </w:style>
  <w:style w:type="character" w:customStyle="1" w:styleId="Antrat7Diagrama">
    <w:name w:val="Antraštė 7 Diagrama"/>
    <w:basedOn w:val="Numatytasispastraiposriftas"/>
    <w:link w:val="Antrat7"/>
    <w:rsid w:val="00D35782"/>
    <w:rPr>
      <w:rFonts w:eastAsia="Times New Roman" w:cs="Times New Roman"/>
      <w:b/>
      <w:bCs/>
      <w:sz w:val="28"/>
      <w:szCs w:val="24"/>
    </w:rPr>
  </w:style>
  <w:style w:type="paragraph" w:styleId="Porat">
    <w:name w:val="footer"/>
    <w:basedOn w:val="prastasis"/>
    <w:link w:val="PoratDiagrama"/>
    <w:rsid w:val="00D35782"/>
    <w:pPr>
      <w:tabs>
        <w:tab w:val="center" w:pos="4153"/>
        <w:tab w:val="right" w:pos="8306"/>
      </w:tabs>
    </w:pPr>
  </w:style>
  <w:style w:type="character" w:customStyle="1" w:styleId="PoratDiagrama">
    <w:name w:val="Poraštė Diagrama"/>
    <w:basedOn w:val="Numatytasispastraiposriftas"/>
    <w:link w:val="Porat"/>
    <w:rsid w:val="00D35782"/>
    <w:rPr>
      <w:rFonts w:eastAsia="Times New Roman" w:cs="Times New Roman"/>
      <w:szCs w:val="24"/>
      <w:lang w:val="en-GB"/>
    </w:rPr>
  </w:style>
  <w:style w:type="character" w:styleId="Puslapionumeris">
    <w:name w:val="page number"/>
    <w:basedOn w:val="Numatytasispastraiposriftas"/>
    <w:rsid w:val="00D35782"/>
  </w:style>
  <w:style w:type="table" w:styleId="Lentelstinklelis">
    <w:name w:val="Table Grid"/>
    <w:basedOn w:val="prastojilentel"/>
    <w:uiPriority w:val="59"/>
    <w:rsid w:val="00CC2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3Diagrama">
    <w:name w:val="Antraštė 3 Diagrama"/>
    <w:basedOn w:val="Numatytasispastraiposriftas"/>
    <w:link w:val="Antrat3"/>
    <w:uiPriority w:val="9"/>
    <w:semiHidden/>
    <w:rsid w:val="00EE1758"/>
    <w:rPr>
      <w:rFonts w:asciiTheme="majorHAnsi" w:eastAsiaTheme="majorEastAsia" w:hAnsiTheme="majorHAnsi" w:cstheme="majorBidi"/>
      <w:b/>
      <w:bCs/>
      <w:color w:val="4F81BD" w:themeColor="accent1"/>
      <w:szCs w:val="24"/>
      <w:lang w:val="en-GB"/>
    </w:rPr>
  </w:style>
  <w:style w:type="paragraph" w:styleId="Debesliotekstas">
    <w:name w:val="Balloon Text"/>
    <w:basedOn w:val="prastasis"/>
    <w:link w:val="DebesliotekstasDiagrama"/>
    <w:uiPriority w:val="99"/>
    <w:semiHidden/>
    <w:unhideWhenUsed/>
    <w:rsid w:val="00B84A0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4A0C"/>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5782"/>
    <w:pPr>
      <w:spacing w:after="0" w:line="240" w:lineRule="auto"/>
    </w:pPr>
    <w:rPr>
      <w:rFonts w:eastAsia="Times New Roman" w:cs="Times New Roman"/>
      <w:szCs w:val="24"/>
      <w:lang w:val="en-GB"/>
    </w:rPr>
  </w:style>
  <w:style w:type="paragraph" w:styleId="Antrat2">
    <w:name w:val="heading 2"/>
    <w:basedOn w:val="prastasis"/>
    <w:next w:val="prastasis"/>
    <w:link w:val="Antrat2Diagrama"/>
    <w:qFormat/>
    <w:rsid w:val="00D35782"/>
    <w:pPr>
      <w:keepNext/>
      <w:ind w:left="-540" w:firstLine="540"/>
      <w:outlineLvl w:val="1"/>
    </w:pPr>
    <w:rPr>
      <w:b/>
      <w:bCs/>
      <w:lang w:val="lt-LT"/>
    </w:rPr>
  </w:style>
  <w:style w:type="paragraph" w:styleId="Antrat3">
    <w:name w:val="heading 3"/>
    <w:basedOn w:val="prastasis"/>
    <w:next w:val="prastasis"/>
    <w:link w:val="Antrat3Diagrama"/>
    <w:uiPriority w:val="9"/>
    <w:semiHidden/>
    <w:unhideWhenUsed/>
    <w:qFormat/>
    <w:rsid w:val="00EE1758"/>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D35782"/>
    <w:pPr>
      <w:keepNext/>
      <w:ind w:left="-360"/>
      <w:outlineLvl w:val="5"/>
    </w:pPr>
    <w:rPr>
      <w:b/>
      <w:bCs/>
      <w:sz w:val="32"/>
      <w:lang w:val="lt-LT"/>
    </w:rPr>
  </w:style>
  <w:style w:type="paragraph" w:styleId="Antrat7">
    <w:name w:val="heading 7"/>
    <w:basedOn w:val="prastasis"/>
    <w:next w:val="prastasis"/>
    <w:link w:val="Antrat7Diagrama"/>
    <w:qFormat/>
    <w:rsid w:val="00D35782"/>
    <w:pPr>
      <w:keepNext/>
      <w:ind w:left="-540"/>
      <w:jc w:val="center"/>
      <w:outlineLvl w:val="6"/>
    </w:pPr>
    <w:rPr>
      <w:b/>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35782"/>
    <w:rPr>
      <w:rFonts w:eastAsia="Times New Roman" w:cs="Times New Roman"/>
      <w:b/>
      <w:bCs/>
      <w:szCs w:val="24"/>
    </w:rPr>
  </w:style>
  <w:style w:type="character" w:customStyle="1" w:styleId="Antrat6Diagrama">
    <w:name w:val="Antraštė 6 Diagrama"/>
    <w:basedOn w:val="Numatytasispastraiposriftas"/>
    <w:link w:val="Antrat6"/>
    <w:rsid w:val="00D35782"/>
    <w:rPr>
      <w:rFonts w:eastAsia="Times New Roman" w:cs="Times New Roman"/>
      <w:b/>
      <w:bCs/>
      <w:sz w:val="32"/>
      <w:szCs w:val="24"/>
    </w:rPr>
  </w:style>
  <w:style w:type="character" w:customStyle="1" w:styleId="Antrat7Diagrama">
    <w:name w:val="Antraštė 7 Diagrama"/>
    <w:basedOn w:val="Numatytasispastraiposriftas"/>
    <w:link w:val="Antrat7"/>
    <w:rsid w:val="00D35782"/>
    <w:rPr>
      <w:rFonts w:eastAsia="Times New Roman" w:cs="Times New Roman"/>
      <w:b/>
      <w:bCs/>
      <w:sz w:val="28"/>
      <w:szCs w:val="24"/>
    </w:rPr>
  </w:style>
  <w:style w:type="paragraph" w:styleId="Porat">
    <w:name w:val="footer"/>
    <w:basedOn w:val="prastasis"/>
    <w:link w:val="PoratDiagrama"/>
    <w:rsid w:val="00D35782"/>
    <w:pPr>
      <w:tabs>
        <w:tab w:val="center" w:pos="4153"/>
        <w:tab w:val="right" w:pos="8306"/>
      </w:tabs>
    </w:pPr>
  </w:style>
  <w:style w:type="character" w:customStyle="1" w:styleId="PoratDiagrama">
    <w:name w:val="Poraštė Diagrama"/>
    <w:basedOn w:val="Numatytasispastraiposriftas"/>
    <w:link w:val="Porat"/>
    <w:rsid w:val="00D35782"/>
    <w:rPr>
      <w:rFonts w:eastAsia="Times New Roman" w:cs="Times New Roman"/>
      <w:szCs w:val="24"/>
      <w:lang w:val="en-GB"/>
    </w:rPr>
  </w:style>
  <w:style w:type="character" w:styleId="Puslapionumeris">
    <w:name w:val="page number"/>
    <w:basedOn w:val="Numatytasispastraiposriftas"/>
    <w:rsid w:val="00D35782"/>
  </w:style>
  <w:style w:type="table" w:styleId="Lentelstinklelis">
    <w:name w:val="Table Grid"/>
    <w:basedOn w:val="prastojilentel"/>
    <w:uiPriority w:val="59"/>
    <w:rsid w:val="00CC2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3Diagrama">
    <w:name w:val="Antraštė 3 Diagrama"/>
    <w:basedOn w:val="Numatytasispastraiposriftas"/>
    <w:link w:val="Antrat3"/>
    <w:uiPriority w:val="9"/>
    <w:semiHidden/>
    <w:rsid w:val="00EE1758"/>
    <w:rPr>
      <w:rFonts w:asciiTheme="majorHAnsi" w:eastAsiaTheme="majorEastAsia" w:hAnsiTheme="majorHAnsi" w:cstheme="majorBidi"/>
      <w:b/>
      <w:bCs/>
      <w:color w:val="4F81BD" w:themeColor="accent1"/>
      <w:szCs w:val="24"/>
      <w:lang w:val="en-GB"/>
    </w:rPr>
  </w:style>
  <w:style w:type="paragraph" w:styleId="Debesliotekstas">
    <w:name w:val="Balloon Text"/>
    <w:basedOn w:val="prastasis"/>
    <w:link w:val="DebesliotekstasDiagrama"/>
    <w:uiPriority w:val="99"/>
    <w:semiHidden/>
    <w:unhideWhenUsed/>
    <w:rsid w:val="00B84A0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4A0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0758-54E0-445B-BBE2-1BD6BB3E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8</Pages>
  <Words>15321</Words>
  <Characters>8733</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VMM</Company>
  <LinksUpToDate>false</LinksUpToDate>
  <CharactersWithSpaces>24006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dc:creator>
  <cp:lastModifiedBy>Ričardas</cp:lastModifiedBy>
  <cp:revision>207</cp:revision>
  <cp:lastPrinted>2019-10-11T10:09:00Z</cp:lastPrinted>
  <dcterms:created xsi:type="dcterms:W3CDTF">2016-07-12T07:23:00Z</dcterms:created>
  <dcterms:modified xsi:type="dcterms:W3CDTF">2019-10-11T10:11:00Z</dcterms:modified>
</cp:coreProperties>
</file>