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D12D92">
        <w:rPr>
          <w:b/>
          <w:lang w:val="lt-LT"/>
        </w:rPr>
        <w:t>21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 xml:space="preserve">I KETVIRČIO </w:t>
      </w:r>
      <w:r w:rsidRPr="0045694A">
        <w:rPr>
          <w:b/>
          <w:lang w:val="lt-LT"/>
        </w:rPr>
        <w:t>FINANSINIŲ ATASKAITŲ</w:t>
      </w:r>
    </w:p>
    <w:p w:rsidR="007379F7" w:rsidRPr="0045694A" w:rsidRDefault="007379F7" w:rsidP="00D35782">
      <w:pPr>
        <w:jc w:val="center"/>
        <w:rPr>
          <w:b/>
          <w:lang w:val="lt-LT"/>
        </w:rPr>
      </w:pP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D12D92">
        <w:rPr>
          <w:lang w:val="lt-LT"/>
        </w:rPr>
        <w:t>1</w:t>
      </w:r>
      <w:r>
        <w:rPr>
          <w:lang w:val="lt-LT"/>
        </w:rPr>
        <w:t>-</w:t>
      </w:r>
      <w:r w:rsidR="005E4D6C">
        <w:rPr>
          <w:lang w:val="lt-LT"/>
        </w:rPr>
        <w:t>04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D12D92">
        <w:rPr>
          <w:lang w:val="lt-LT"/>
        </w:rPr>
        <w:t>2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 xml:space="preserve">kti formalųjį švietimą papildantį ugdymą </w:t>
      </w:r>
      <w:r w:rsidR="00D12D92">
        <w:rPr>
          <w:lang w:val="lt-LT"/>
        </w:rPr>
        <w:t>ir neformalųjį  ugdymą</w:t>
      </w:r>
      <w:r>
        <w:rPr>
          <w:lang w:val="lt-LT"/>
        </w:rPr>
        <w:t xml:space="preserve"> rajono mokyklų mokiniams</w:t>
      </w:r>
      <w:r w:rsidR="00D12D92">
        <w:rPr>
          <w:lang w:val="lt-LT"/>
        </w:rPr>
        <w:t xml:space="preserve"> ir suaugusiems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r w:rsidR="0074371D">
        <w:rPr>
          <w:lang w:val="lt-LT"/>
        </w:rPr>
        <w:t>AS banke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A54C39">
        <w:rPr>
          <w:lang w:val="lt-LT"/>
        </w:rPr>
        <w:t>1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5E4D6C">
        <w:rPr>
          <w:lang w:val="lt-LT"/>
        </w:rPr>
        <w:t>tris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EF6552">
        <w:rPr>
          <w:lang w:val="lt-LT"/>
        </w:rPr>
        <w:t>6</w:t>
      </w:r>
      <w:r w:rsidRPr="00821304">
        <w:rPr>
          <w:lang w:val="lt-LT"/>
        </w:rPr>
        <w:t xml:space="preserve">. Įstaigos ataskaitinio laikotarpio pabaigoje patvirtinti </w:t>
      </w:r>
      <w:r w:rsidR="00EF6552">
        <w:rPr>
          <w:lang w:val="lt-LT"/>
        </w:rPr>
        <w:t>54</w:t>
      </w:r>
      <w:r w:rsidR="005E4D6C">
        <w:rPr>
          <w:lang w:val="lt-LT"/>
        </w:rPr>
        <w:t xml:space="preserve"> e</w:t>
      </w:r>
      <w:r w:rsidR="00B4382A">
        <w:rPr>
          <w:lang w:val="lt-LT"/>
        </w:rPr>
        <w:t xml:space="preserve">tatai, iš jų pedagoginių darbuotojų </w:t>
      </w:r>
      <w:r w:rsidR="00EF655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 w:rsidR="00A74BBB">
        <w:rPr>
          <w:lang w:val="lt-LT"/>
        </w:rPr>
        <w:t>20</w:t>
      </w:r>
      <w:r w:rsidRPr="0045694A">
        <w:rPr>
          <w:lang w:val="lt-LT"/>
        </w:rPr>
        <w:t xml:space="preserve"> m. </w:t>
      </w:r>
      <w:r>
        <w:rPr>
          <w:lang w:val="lt-LT"/>
        </w:rPr>
        <w:t>g</w:t>
      </w:r>
      <w:r w:rsidR="00A74BBB">
        <w:rPr>
          <w:lang w:val="lt-LT"/>
        </w:rPr>
        <w:t>ruodžio</w:t>
      </w:r>
      <w:r w:rsidRPr="0045694A">
        <w:rPr>
          <w:lang w:val="lt-LT"/>
        </w:rPr>
        <w:t xml:space="preserve"> </w:t>
      </w:r>
      <w:r w:rsidR="00A74BBB">
        <w:rPr>
          <w:lang w:val="lt-LT"/>
        </w:rPr>
        <w:t>30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</w:t>
      </w:r>
      <w:r w:rsidR="00A74BBB">
        <w:rPr>
          <w:lang w:val="lt-LT"/>
        </w:rPr>
        <w:t>8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="00A74BBB">
        <w:rPr>
          <w:lang w:val="lt-LT"/>
        </w:rPr>
        <w:t>pa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804BD6">
        <w:rPr>
          <w:lang w:val="lt-LT"/>
        </w:rPr>
        <w:t>20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lastRenderedPageBreak/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EC017B">
        <w:rPr>
          <w:lang w:val="lt-LT"/>
        </w:rPr>
        <w:t xml:space="preserve"> įsigijo </w:t>
      </w:r>
      <w:r w:rsidR="00111228">
        <w:rPr>
          <w:lang w:val="lt-LT"/>
        </w:rPr>
        <w:t xml:space="preserve">ilgalaikio materialiojo turto </w:t>
      </w:r>
      <w:r w:rsidR="00EC017B">
        <w:rPr>
          <w:lang w:val="lt-LT"/>
        </w:rPr>
        <w:t>už 8379,98 Eur, taipogi Vilkaviškio rajono savivaldybės administracija perdavė muzikos mokyklos pastato renovacijos</w:t>
      </w:r>
      <w:r w:rsidR="00963701">
        <w:rPr>
          <w:lang w:val="lt-LT"/>
        </w:rPr>
        <w:t xml:space="preserve"> </w:t>
      </w:r>
      <w:r w:rsidR="00EC017B">
        <w:rPr>
          <w:lang w:val="lt-LT"/>
        </w:rPr>
        <w:t>vertes (62602,55 Eur). Ilgalaikio materialiojo turto per ataskaitinį laikotarpį nurašyta nebuvo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>pabaigoje medžiagų likutis sudar</w:t>
      </w:r>
      <w:r w:rsidR="00EC017B">
        <w:rPr>
          <w:lang w:val="lt-LT"/>
        </w:rPr>
        <w:t>ė</w:t>
      </w:r>
      <w:r w:rsidR="00854FC3">
        <w:rPr>
          <w:lang w:val="lt-LT"/>
        </w:rPr>
        <w:t xml:space="preserve"> </w:t>
      </w:r>
      <w:r w:rsidR="00EC017B">
        <w:rPr>
          <w:lang w:val="lt-LT"/>
        </w:rPr>
        <w:t>44,73</w:t>
      </w:r>
      <w:r w:rsidR="00854FC3">
        <w:rPr>
          <w:lang w:val="lt-LT"/>
        </w:rPr>
        <w:t xml:space="preserve"> Eur </w:t>
      </w:r>
      <w:r w:rsidRPr="00854FC3">
        <w:rPr>
          <w:lang w:val="lt-LT"/>
        </w:rPr>
        <w:t>(degalai).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1A7936">
        <w:rPr>
          <w:lang w:val="lt-LT"/>
        </w:rPr>
        <w:t>334,53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</w:t>
      </w:r>
      <w:r w:rsidR="001A7936">
        <w:rPr>
          <w:lang w:val="lt-LT"/>
        </w:rPr>
        <w:t>ė</w:t>
      </w:r>
      <w:r w:rsidRPr="009A344F">
        <w:rPr>
          <w:lang w:val="lt-LT"/>
        </w:rPr>
        <w:t xml:space="preserve"> ateinančių</w:t>
      </w:r>
      <w:r>
        <w:rPr>
          <w:lang w:val="lt-LT"/>
        </w:rPr>
        <w:t xml:space="preserve"> laikotarpių sąnaudos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</w:t>
      </w:r>
      <w:r w:rsidR="001A7936">
        <w:rPr>
          <w:lang w:val="lt-LT"/>
        </w:rPr>
        <w:t xml:space="preserve"> ir kt.</w:t>
      </w:r>
      <w:r>
        <w:rPr>
          <w:lang w:val="lt-LT"/>
        </w:rPr>
        <w:t>)</w:t>
      </w:r>
      <w:r w:rsidR="00D103F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82754E">
        <w:rPr>
          <w:lang w:val="lt-LT"/>
        </w:rPr>
        <w:t xml:space="preserve">sudarė </w:t>
      </w:r>
      <w:r w:rsidR="0064786A">
        <w:rPr>
          <w:lang w:val="lt-LT"/>
        </w:rPr>
        <w:t>952,20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5038,76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62906,64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928,55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52391,59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768,59</w:t>
            </w:r>
          </w:p>
        </w:tc>
      </w:tr>
      <w:tr w:rsidR="009243AD" w:rsidTr="00F00414">
        <w:tc>
          <w:tcPr>
            <w:tcW w:w="992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Kiti atidėjiniai</w:t>
            </w:r>
          </w:p>
        </w:tc>
        <w:tc>
          <w:tcPr>
            <w:tcW w:w="155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7836,40</w:t>
            </w:r>
          </w:p>
        </w:tc>
      </w:tr>
      <w:tr w:rsidR="00DA5ADA" w:rsidTr="00F00414">
        <w:tc>
          <w:tcPr>
            <w:tcW w:w="992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10006,27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139876,80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3A56B5">
        <w:rPr>
          <w:lang w:val="lt-LT"/>
        </w:rPr>
        <w:t>7503,07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3A56B5">
        <w:rPr>
          <w:lang w:val="lt-LT"/>
        </w:rPr>
        <w:t>16,59</w:t>
      </w:r>
      <w:r w:rsidR="005F5358">
        <w:rPr>
          <w:lang w:val="lt-LT"/>
        </w:rPr>
        <w:t xml:space="preserve"> Eur ir nebiudžetinės lėšos </w:t>
      </w:r>
      <w:r w:rsidR="003A56B5">
        <w:rPr>
          <w:lang w:val="lt-LT"/>
        </w:rPr>
        <w:t>7486,48</w:t>
      </w:r>
      <w:r w:rsidR="005F5358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1708E7">
        <w:rPr>
          <w:lang w:val="lt-LT"/>
        </w:rPr>
        <w:t>198040,35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4D5967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valstybės biudžeto</w:t>
      </w:r>
      <w:r w:rsidR="005F0814">
        <w:rPr>
          <w:lang w:val="lt-LT"/>
        </w:rPr>
        <w:t xml:space="preserve"> lėšų perduota mokyklos pastato renovacijos vertė – 9288,28 Eur.</w:t>
      </w:r>
    </w:p>
    <w:p w:rsidR="00946F33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savivaldybės biudžeto gaut</w:t>
      </w:r>
      <w:r w:rsidR="007D0D7F">
        <w:rPr>
          <w:lang w:val="lt-LT"/>
        </w:rPr>
        <w:t>a</w:t>
      </w:r>
      <w:r>
        <w:rPr>
          <w:lang w:val="lt-LT"/>
        </w:rPr>
        <w:t xml:space="preserve"> </w:t>
      </w:r>
      <w:r w:rsidR="00481065">
        <w:rPr>
          <w:lang w:val="lt-LT"/>
        </w:rPr>
        <w:t xml:space="preserve">kitoms </w:t>
      </w:r>
      <w:r>
        <w:rPr>
          <w:lang w:val="lt-LT"/>
        </w:rPr>
        <w:t xml:space="preserve">išlaidoms </w:t>
      </w:r>
      <w:r w:rsidR="007D0D7F">
        <w:rPr>
          <w:lang w:val="lt-LT"/>
        </w:rPr>
        <w:t xml:space="preserve">kompensuoti </w:t>
      </w:r>
      <w:r w:rsidR="005F0814">
        <w:rPr>
          <w:lang w:val="lt-LT"/>
        </w:rPr>
        <w:t xml:space="preserve"> 136677,80 Eur ir perduota mokyklos pastato renovacijos vertė – 680,69 Eur.</w:t>
      </w:r>
    </w:p>
    <w:p w:rsidR="005F0814" w:rsidRDefault="005F0814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Europos Sąjungos lėšų perduota mokyklos pastato renovacijos vertė – 52633,58 Eur.</w:t>
      </w:r>
    </w:p>
    <w:p w:rsidR="00CC2014" w:rsidRPr="004A75C1" w:rsidRDefault="00D35782" w:rsidP="004A75C1">
      <w:pPr>
        <w:pStyle w:val="Sraopastraipa"/>
        <w:numPr>
          <w:ilvl w:val="0"/>
          <w:numId w:val="1"/>
        </w:numPr>
        <w:tabs>
          <w:tab w:val="left" w:pos="540"/>
          <w:tab w:val="left" w:pos="1260"/>
        </w:tabs>
        <w:ind w:firstLine="851"/>
        <w:jc w:val="both"/>
        <w:rPr>
          <w:lang w:val="lt-LT"/>
        </w:rPr>
      </w:pPr>
      <w:r w:rsidRPr="004A75C1">
        <w:rPr>
          <w:lang w:val="lt-LT"/>
        </w:rPr>
        <w:t>Straipsnyje „Įsipareigojimai”, pateikiama informacija apie trumpalaikius įsipareigojimus</w:t>
      </w:r>
      <w:r w:rsidR="00EA7AD0" w:rsidRPr="004A75C1">
        <w:rPr>
          <w:lang w:val="lt-LT"/>
        </w:rPr>
        <w:t xml:space="preserve"> ataskaitinio laikotarpio pabaigai</w:t>
      </w:r>
      <w:r w:rsidR="00CC2014" w:rsidRPr="004A75C1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5038,76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1058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6096,76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38885,08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13186,59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10834,97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8554E8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928,55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63835,19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52391,59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768,59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53160,18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D62B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lastRenderedPageBreak/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t xml:space="preserve">Ataskaitinio laikotarpio pabaigoje perviršis sudarė  </w:t>
      </w:r>
      <w:r w:rsidR="001C152F">
        <w:rPr>
          <w:lang w:val="lt-LT"/>
        </w:rPr>
        <w:t>8767,11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1C152F">
        <w:rPr>
          <w:lang w:val="lt-LT"/>
        </w:rPr>
        <w:t>130750,64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A6621D">
        <w:rPr>
          <w:lang w:val="lt-LT"/>
        </w:rPr>
        <w:t>63995.91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 xml:space="preserve">Direktorius                         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  <w:bookmarkStart w:id="0" w:name="_GoBack"/>
      <w:bookmarkEnd w:id="0"/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6A" w:rsidRDefault="0057126A">
      <w:r>
        <w:separator/>
      </w:r>
    </w:p>
  </w:endnote>
  <w:endnote w:type="continuationSeparator" w:id="0">
    <w:p w:rsidR="0057126A" w:rsidRDefault="0057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57126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460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B2B90" w:rsidRDefault="005712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6A" w:rsidRDefault="0057126A">
      <w:r>
        <w:separator/>
      </w:r>
    </w:p>
  </w:footnote>
  <w:footnote w:type="continuationSeparator" w:id="0">
    <w:p w:rsidR="0057126A" w:rsidRDefault="00571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95250"/>
    <w:rsid w:val="000C7148"/>
    <w:rsid w:val="00111228"/>
    <w:rsid w:val="00117A1F"/>
    <w:rsid w:val="001215DD"/>
    <w:rsid w:val="00125B33"/>
    <w:rsid w:val="001322B8"/>
    <w:rsid w:val="00141B87"/>
    <w:rsid w:val="001553D0"/>
    <w:rsid w:val="001708E7"/>
    <w:rsid w:val="001845A8"/>
    <w:rsid w:val="0018530B"/>
    <w:rsid w:val="001A7936"/>
    <w:rsid w:val="001C0278"/>
    <w:rsid w:val="001C152F"/>
    <w:rsid w:val="001C4B0D"/>
    <w:rsid w:val="001D2F07"/>
    <w:rsid w:val="001D3DC1"/>
    <w:rsid w:val="001F3F9E"/>
    <w:rsid w:val="0024669C"/>
    <w:rsid w:val="0025127F"/>
    <w:rsid w:val="00270666"/>
    <w:rsid w:val="00274B65"/>
    <w:rsid w:val="0029424D"/>
    <w:rsid w:val="00294F23"/>
    <w:rsid w:val="002979BC"/>
    <w:rsid w:val="002A75CD"/>
    <w:rsid w:val="002C3BEC"/>
    <w:rsid w:val="00334819"/>
    <w:rsid w:val="00341810"/>
    <w:rsid w:val="00345F9C"/>
    <w:rsid w:val="003721CA"/>
    <w:rsid w:val="003955A3"/>
    <w:rsid w:val="003A56B5"/>
    <w:rsid w:val="003D6194"/>
    <w:rsid w:val="003F4552"/>
    <w:rsid w:val="003F4606"/>
    <w:rsid w:val="00414F9C"/>
    <w:rsid w:val="00420D6A"/>
    <w:rsid w:val="00421FF8"/>
    <w:rsid w:val="00450F51"/>
    <w:rsid w:val="00461326"/>
    <w:rsid w:val="00481065"/>
    <w:rsid w:val="0048451B"/>
    <w:rsid w:val="004A3282"/>
    <w:rsid w:val="004A75C1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126A"/>
    <w:rsid w:val="00577966"/>
    <w:rsid w:val="00581D54"/>
    <w:rsid w:val="00591C0D"/>
    <w:rsid w:val="005A3376"/>
    <w:rsid w:val="005E4D6C"/>
    <w:rsid w:val="005F0814"/>
    <w:rsid w:val="005F084D"/>
    <w:rsid w:val="005F5358"/>
    <w:rsid w:val="0061203C"/>
    <w:rsid w:val="0064786A"/>
    <w:rsid w:val="0067152B"/>
    <w:rsid w:val="00685476"/>
    <w:rsid w:val="006A5905"/>
    <w:rsid w:val="006B2152"/>
    <w:rsid w:val="006D59CB"/>
    <w:rsid w:val="00700236"/>
    <w:rsid w:val="0070550D"/>
    <w:rsid w:val="00707B2F"/>
    <w:rsid w:val="00733880"/>
    <w:rsid w:val="007340C3"/>
    <w:rsid w:val="007379F7"/>
    <w:rsid w:val="0074371D"/>
    <w:rsid w:val="00773173"/>
    <w:rsid w:val="00774FE4"/>
    <w:rsid w:val="00781A16"/>
    <w:rsid w:val="007A6751"/>
    <w:rsid w:val="007B01B9"/>
    <w:rsid w:val="007C390F"/>
    <w:rsid w:val="007C4FA8"/>
    <w:rsid w:val="007D0D7F"/>
    <w:rsid w:val="007E77C0"/>
    <w:rsid w:val="00804BD6"/>
    <w:rsid w:val="00814E9B"/>
    <w:rsid w:val="00821304"/>
    <w:rsid w:val="0082754E"/>
    <w:rsid w:val="00854FC3"/>
    <w:rsid w:val="008554E8"/>
    <w:rsid w:val="00856A85"/>
    <w:rsid w:val="008573A0"/>
    <w:rsid w:val="00862E90"/>
    <w:rsid w:val="008A6E69"/>
    <w:rsid w:val="008B2A69"/>
    <w:rsid w:val="008C3436"/>
    <w:rsid w:val="008D3473"/>
    <w:rsid w:val="008E1D3A"/>
    <w:rsid w:val="008E5FBC"/>
    <w:rsid w:val="00922A15"/>
    <w:rsid w:val="009243AD"/>
    <w:rsid w:val="00946F33"/>
    <w:rsid w:val="00963701"/>
    <w:rsid w:val="009703BE"/>
    <w:rsid w:val="009A3A6B"/>
    <w:rsid w:val="009C0436"/>
    <w:rsid w:val="009D21FA"/>
    <w:rsid w:val="009F0983"/>
    <w:rsid w:val="009F1EDD"/>
    <w:rsid w:val="009F520C"/>
    <w:rsid w:val="00A24284"/>
    <w:rsid w:val="00A42C36"/>
    <w:rsid w:val="00A54C39"/>
    <w:rsid w:val="00A613B9"/>
    <w:rsid w:val="00A6621D"/>
    <w:rsid w:val="00A74BBB"/>
    <w:rsid w:val="00A96859"/>
    <w:rsid w:val="00AA1366"/>
    <w:rsid w:val="00AC604A"/>
    <w:rsid w:val="00AE1AAF"/>
    <w:rsid w:val="00AE6320"/>
    <w:rsid w:val="00AF0B70"/>
    <w:rsid w:val="00B20238"/>
    <w:rsid w:val="00B4382A"/>
    <w:rsid w:val="00B554A4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2014"/>
    <w:rsid w:val="00CD058A"/>
    <w:rsid w:val="00D103FC"/>
    <w:rsid w:val="00D12D92"/>
    <w:rsid w:val="00D13A2A"/>
    <w:rsid w:val="00D150A2"/>
    <w:rsid w:val="00D24D17"/>
    <w:rsid w:val="00D3221F"/>
    <w:rsid w:val="00D35782"/>
    <w:rsid w:val="00D62726"/>
    <w:rsid w:val="00D62B61"/>
    <w:rsid w:val="00D71F6B"/>
    <w:rsid w:val="00DA5ADA"/>
    <w:rsid w:val="00DD1F1D"/>
    <w:rsid w:val="00DF08D2"/>
    <w:rsid w:val="00E02BC5"/>
    <w:rsid w:val="00E22E54"/>
    <w:rsid w:val="00E37BC7"/>
    <w:rsid w:val="00E37F1F"/>
    <w:rsid w:val="00E602F3"/>
    <w:rsid w:val="00E627BB"/>
    <w:rsid w:val="00E9727B"/>
    <w:rsid w:val="00EA7AD0"/>
    <w:rsid w:val="00EC017B"/>
    <w:rsid w:val="00EC4452"/>
    <w:rsid w:val="00ED645F"/>
    <w:rsid w:val="00EF2719"/>
    <w:rsid w:val="00EF6552"/>
    <w:rsid w:val="00F12E77"/>
    <w:rsid w:val="00F27D48"/>
    <w:rsid w:val="00F502A2"/>
    <w:rsid w:val="00F97891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1FDA-CB59-496D-91B8-663D2CF1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4177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</cp:lastModifiedBy>
  <cp:revision>30</cp:revision>
  <dcterms:created xsi:type="dcterms:W3CDTF">2020-04-30T08:18:00Z</dcterms:created>
  <dcterms:modified xsi:type="dcterms:W3CDTF">2021-04-12T12:05:00Z</dcterms:modified>
</cp:coreProperties>
</file>